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A0AE" w14:textId="2B5E8037" w:rsidR="00E16316" w:rsidRDefault="007F6EE9">
      <w:pPr>
        <w:pStyle w:val="Heading1"/>
        <w:spacing w:before="79"/>
        <w:ind w:left="3708" w:right="1310" w:hanging="838"/>
        <w:jc w:val="left"/>
      </w:pPr>
      <w:bookmarkStart w:id="0" w:name="PROXY_VOTING_–_IMPORTANT_INFORMATION"/>
      <w:bookmarkEnd w:id="0"/>
      <w:r>
        <w:t>PROXY</w:t>
      </w:r>
      <w:r>
        <w:rPr>
          <w:spacing w:val="-11"/>
        </w:rPr>
        <w:t xml:space="preserve"> </w:t>
      </w:r>
      <w:r>
        <w:t>VOTING</w:t>
      </w:r>
      <w:r>
        <w:rPr>
          <w:spacing w:val="-11"/>
        </w:rPr>
        <w:t xml:space="preserve"> </w:t>
      </w:r>
      <w:r>
        <w:t>–</w:t>
      </w:r>
      <w:r>
        <w:rPr>
          <w:spacing w:val="-13"/>
        </w:rPr>
        <w:t xml:space="preserve"> </w:t>
      </w:r>
      <w:r>
        <w:t xml:space="preserve">IMPORTANT </w:t>
      </w:r>
      <w:r>
        <w:rPr>
          <w:spacing w:val="-2"/>
        </w:rPr>
        <w:t>INFORMATION</w:t>
      </w:r>
      <w:r w:rsidR="00C85BD8">
        <w:rPr>
          <w:spacing w:val="-2"/>
        </w:rPr>
        <w:t xml:space="preserve">  </w:t>
      </w:r>
    </w:p>
    <w:p w14:paraId="772DA0AF" w14:textId="6B63F201" w:rsidR="00E16316" w:rsidRDefault="007F6EE9">
      <w:pPr>
        <w:pStyle w:val="BodyText"/>
        <w:spacing w:before="248"/>
        <w:ind w:left="120" w:right="111"/>
      </w:pPr>
      <w:r>
        <w:t>The</w:t>
      </w:r>
      <w:r>
        <w:rPr>
          <w:spacing w:val="-3"/>
        </w:rPr>
        <w:t xml:space="preserve"> </w:t>
      </w:r>
      <w:r>
        <w:t>process</w:t>
      </w:r>
      <w:r>
        <w:rPr>
          <w:spacing w:val="-3"/>
        </w:rPr>
        <w:t xml:space="preserve"> </w:t>
      </w:r>
      <w:r>
        <w:t>for</w:t>
      </w:r>
      <w:r>
        <w:rPr>
          <w:spacing w:val="-3"/>
        </w:rPr>
        <w:t xml:space="preserve"> </w:t>
      </w:r>
      <w:r>
        <w:t>appointing</w:t>
      </w:r>
      <w:r>
        <w:rPr>
          <w:spacing w:val="-4"/>
        </w:rPr>
        <w:t xml:space="preserve"> </w:t>
      </w:r>
      <w:r>
        <w:t>a</w:t>
      </w:r>
      <w:r>
        <w:rPr>
          <w:spacing w:val="-3"/>
        </w:rPr>
        <w:t xml:space="preserve"> </w:t>
      </w:r>
      <w:r>
        <w:t>proxy</w:t>
      </w:r>
      <w:r>
        <w:rPr>
          <w:spacing w:val="-4"/>
        </w:rPr>
        <w:t xml:space="preserve"> </w:t>
      </w:r>
      <w:r>
        <w:t>and/or</w:t>
      </w:r>
      <w:r>
        <w:rPr>
          <w:spacing w:val="-3"/>
        </w:rPr>
        <w:t xml:space="preserve"> </w:t>
      </w:r>
      <w:r>
        <w:t>voting</w:t>
      </w:r>
      <w:r>
        <w:rPr>
          <w:spacing w:val="-4"/>
        </w:rPr>
        <w:t xml:space="preserve"> </w:t>
      </w:r>
      <w:r>
        <w:t>in</w:t>
      </w:r>
      <w:r>
        <w:rPr>
          <w:spacing w:val="-4"/>
        </w:rPr>
        <w:t xml:space="preserve"> </w:t>
      </w:r>
      <w:r>
        <w:t>connection</w:t>
      </w:r>
      <w:r>
        <w:rPr>
          <w:spacing w:val="-4"/>
        </w:rPr>
        <w:t xml:space="preserve"> </w:t>
      </w:r>
      <w:r>
        <w:t>with</w:t>
      </w:r>
      <w:r>
        <w:rPr>
          <w:spacing w:val="-4"/>
        </w:rPr>
        <w:t xml:space="preserve"> </w:t>
      </w:r>
      <w:r>
        <w:t>the</w:t>
      </w:r>
      <w:r>
        <w:rPr>
          <w:spacing w:val="-3"/>
        </w:rPr>
        <w:t xml:space="preserve"> </w:t>
      </w:r>
      <w:r>
        <w:t>annual</w:t>
      </w:r>
      <w:r>
        <w:rPr>
          <w:spacing w:val="-3"/>
        </w:rPr>
        <w:t xml:space="preserve"> </w:t>
      </w:r>
      <w:r>
        <w:t>general</w:t>
      </w:r>
      <w:r>
        <w:rPr>
          <w:spacing w:val="-5"/>
        </w:rPr>
        <w:t xml:space="preserve"> </w:t>
      </w:r>
      <w:r>
        <w:t>meeting</w:t>
      </w:r>
      <w:r>
        <w:rPr>
          <w:spacing w:val="-4"/>
        </w:rPr>
        <w:t xml:space="preserve"> </w:t>
      </w:r>
      <w:r>
        <w:t>(the “</w:t>
      </w:r>
      <w:r>
        <w:rPr>
          <w:b/>
        </w:rPr>
        <w:t>AGM</w:t>
      </w:r>
      <w:r>
        <w:t>”) depends</w:t>
      </w:r>
      <w:r>
        <w:rPr>
          <w:spacing w:val="-1"/>
        </w:rPr>
        <w:t xml:space="preserve"> </w:t>
      </w:r>
      <w:r>
        <w:t>on</w:t>
      </w:r>
      <w:r>
        <w:rPr>
          <w:spacing w:val="-4"/>
        </w:rPr>
        <w:t xml:space="preserve"> </w:t>
      </w:r>
      <w:r>
        <w:t>the</w:t>
      </w:r>
      <w:r>
        <w:rPr>
          <w:spacing w:val="-1"/>
        </w:rPr>
        <w:t xml:space="preserve"> </w:t>
      </w:r>
      <w:r>
        <w:t>manner</w:t>
      </w:r>
      <w:r>
        <w:rPr>
          <w:spacing w:val="-3"/>
        </w:rPr>
        <w:t xml:space="preserve"> </w:t>
      </w:r>
      <w:r>
        <w:t>in</w:t>
      </w:r>
      <w:r>
        <w:rPr>
          <w:spacing w:val="-1"/>
        </w:rPr>
        <w:t xml:space="preserve"> </w:t>
      </w:r>
      <w:r>
        <w:t>which</w:t>
      </w:r>
      <w:r>
        <w:rPr>
          <w:spacing w:val="-1"/>
        </w:rPr>
        <w:t xml:space="preserve"> </w:t>
      </w:r>
      <w:r>
        <w:t>you</w:t>
      </w:r>
      <w:r>
        <w:rPr>
          <w:spacing w:val="-1"/>
        </w:rPr>
        <w:t xml:space="preserve"> </w:t>
      </w:r>
      <w:r>
        <w:t>hold</w:t>
      </w:r>
      <w:r>
        <w:rPr>
          <w:spacing w:val="-1"/>
        </w:rPr>
        <w:t xml:space="preserve"> </w:t>
      </w:r>
      <w:r>
        <w:t>your</w:t>
      </w:r>
      <w:r>
        <w:rPr>
          <w:spacing w:val="-1"/>
        </w:rPr>
        <w:t xml:space="preserve"> </w:t>
      </w:r>
      <w:r>
        <w:t>ordinary</w:t>
      </w:r>
      <w:r>
        <w:rPr>
          <w:spacing w:val="-6"/>
        </w:rPr>
        <w:t xml:space="preserve"> </w:t>
      </w:r>
      <w:r>
        <w:t>shares</w:t>
      </w:r>
      <w:r>
        <w:rPr>
          <w:spacing w:val="-3"/>
        </w:rPr>
        <w:t xml:space="preserve"> </w:t>
      </w:r>
      <w:r>
        <w:t>in</w:t>
      </w:r>
      <w:r>
        <w:rPr>
          <w:spacing w:val="-4"/>
        </w:rPr>
        <w:t xml:space="preserve"> </w:t>
      </w:r>
      <w:r>
        <w:t>the</w:t>
      </w:r>
      <w:r>
        <w:rPr>
          <w:spacing w:val="-1"/>
        </w:rPr>
        <w:t xml:space="preserve"> </w:t>
      </w:r>
      <w:r>
        <w:t>Company,</w:t>
      </w:r>
      <w:r>
        <w:rPr>
          <w:spacing w:val="-1"/>
        </w:rPr>
        <w:t xml:space="preserve"> </w:t>
      </w:r>
      <w:r>
        <w:t xml:space="preserve">including where you hold your shares </w:t>
      </w:r>
      <w:r w:rsidR="004339DA">
        <w:t>as a registered member</w:t>
      </w:r>
      <w:r>
        <w:t>, or through the system</w:t>
      </w:r>
      <w:r>
        <w:rPr>
          <w:spacing w:val="-7"/>
        </w:rPr>
        <w:t xml:space="preserve"> </w:t>
      </w:r>
      <w:r>
        <w:t>operated</w:t>
      </w:r>
      <w:r>
        <w:rPr>
          <w:spacing w:val="-6"/>
        </w:rPr>
        <w:t xml:space="preserve"> </w:t>
      </w:r>
      <w:r>
        <w:t>by</w:t>
      </w:r>
      <w:r>
        <w:rPr>
          <w:spacing w:val="-6"/>
        </w:rPr>
        <w:t xml:space="preserve"> </w:t>
      </w:r>
      <w:r>
        <w:t>Euroclear</w:t>
      </w:r>
      <w:r>
        <w:rPr>
          <w:spacing w:val="-3"/>
        </w:rPr>
        <w:t xml:space="preserve"> </w:t>
      </w:r>
      <w:r>
        <w:t>Bank SA/NV (“</w:t>
      </w:r>
      <w:r>
        <w:rPr>
          <w:b/>
        </w:rPr>
        <w:t>Euroclear Bank</w:t>
      </w:r>
      <w:r>
        <w:t>”) (the</w:t>
      </w:r>
      <w:r>
        <w:rPr>
          <w:spacing w:val="-1"/>
        </w:rPr>
        <w:t xml:space="preserve"> </w:t>
      </w:r>
      <w:r>
        <w:t>“</w:t>
      </w:r>
      <w:r>
        <w:rPr>
          <w:b/>
        </w:rPr>
        <w:t>EB System</w:t>
      </w:r>
      <w:r>
        <w:t>”), or through the CREST system (“</w:t>
      </w:r>
      <w:r>
        <w:rPr>
          <w:b/>
        </w:rPr>
        <w:t>CREST</w:t>
      </w:r>
      <w:r>
        <w:t>”).</w:t>
      </w:r>
    </w:p>
    <w:p w14:paraId="772DA0B0" w14:textId="77777777" w:rsidR="00E16316" w:rsidRDefault="007F6EE9">
      <w:pPr>
        <w:pStyle w:val="Heading1"/>
        <w:spacing w:before="252"/>
        <w:ind w:right="110"/>
      </w:pPr>
      <w:r>
        <w:t>IMPORTANT: The information set out in this document in relation to voting procedures for persons who hold their interests in the Company’s ordinary shares as Belgian law rights through the EB System or as CDIs is for guidance only and such persons should consult with their stockbroker or</w:t>
      </w:r>
      <w:r>
        <w:rPr>
          <w:spacing w:val="-2"/>
        </w:rPr>
        <w:t xml:space="preserve"> </w:t>
      </w:r>
      <w:r>
        <w:t>other intermediary</w:t>
      </w:r>
      <w:r>
        <w:rPr>
          <w:spacing w:val="-1"/>
        </w:rPr>
        <w:t xml:space="preserve"> </w:t>
      </w:r>
      <w:r>
        <w:t>at</w:t>
      </w:r>
      <w:r>
        <w:rPr>
          <w:spacing w:val="-2"/>
        </w:rPr>
        <w:t xml:space="preserve"> </w:t>
      </w:r>
      <w:r>
        <w:t>the</w:t>
      </w:r>
      <w:r>
        <w:rPr>
          <w:spacing w:val="-2"/>
        </w:rPr>
        <w:t xml:space="preserve"> </w:t>
      </w:r>
      <w:r>
        <w:t>earliest opportunity</w:t>
      </w:r>
      <w:r>
        <w:rPr>
          <w:spacing w:val="-2"/>
        </w:rPr>
        <w:t xml:space="preserve"> </w:t>
      </w:r>
      <w:r>
        <w:t>for</w:t>
      </w:r>
      <w:r>
        <w:rPr>
          <w:spacing w:val="-2"/>
        </w:rPr>
        <w:t xml:space="preserve"> </w:t>
      </w:r>
      <w:r>
        <w:t>further</w:t>
      </w:r>
      <w:r>
        <w:rPr>
          <w:spacing w:val="-2"/>
        </w:rPr>
        <w:t xml:space="preserve"> </w:t>
      </w:r>
      <w:r>
        <w:t>information</w:t>
      </w:r>
      <w:r>
        <w:rPr>
          <w:spacing w:val="-1"/>
        </w:rPr>
        <w:t xml:space="preserve"> </w:t>
      </w:r>
      <w:r>
        <w:t>on the</w:t>
      </w:r>
      <w:r>
        <w:rPr>
          <w:spacing w:val="-14"/>
        </w:rPr>
        <w:t xml:space="preserve"> </w:t>
      </w:r>
      <w:r>
        <w:t>processes</w:t>
      </w:r>
      <w:r>
        <w:rPr>
          <w:spacing w:val="-14"/>
        </w:rPr>
        <w:t xml:space="preserve"> </w:t>
      </w:r>
      <w:r>
        <w:t>and</w:t>
      </w:r>
      <w:r>
        <w:rPr>
          <w:spacing w:val="-14"/>
        </w:rPr>
        <w:t xml:space="preserve"> </w:t>
      </w:r>
      <w:r>
        <w:t>timelines</w:t>
      </w:r>
      <w:r>
        <w:rPr>
          <w:spacing w:val="-13"/>
        </w:rPr>
        <w:t xml:space="preserve"> </w:t>
      </w:r>
      <w:r>
        <w:t>for</w:t>
      </w:r>
      <w:r>
        <w:rPr>
          <w:spacing w:val="-14"/>
        </w:rPr>
        <w:t xml:space="preserve"> </w:t>
      </w:r>
      <w:r>
        <w:t>submitting</w:t>
      </w:r>
      <w:r>
        <w:rPr>
          <w:spacing w:val="-14"/>
        </w:rPr>
        <w:t xml:space="preserve"> </w:t>
      </w:r>
      <w:r>
        <w:t>proxies</w:t>
      </w:r>
      <w:r>
        <w:rPr>
          <w:spacing w:val="-14"/>
        </w:rPr>
        <w:t xml:space="preserve"> </w:t>
      </w:r>
      <w:r>
        <w:t>and</w:t>
      </w:r>
      <w:r>
        <w:rPr>
          <w:spacing w:val="-13"/>
        </w:rPr>
        <w:t xml:space="preserve"> </w:t>
      </w:r>
      <w:r>
        <w:t>voting</w:t>
      </w:r>
      <w:r>
        <w:rPr>
          <w:spacing w:val="-14"/>
        </w:rPr>
        <w:t xml:space="preserve"> </w:t>
      </w:r>
      <w:r>
        <w:t>instructions</w:t>
      </w:r>
      <w:r>
        <w:rPr>
          <w:spacing w:val="-14"/>
        </w:rPr>
        <w:t xml:space="preserve"> </w:t>
      </w:r>
      <w:r>
        <w:t>for</w:t>
      </w:r>
      <w:r>
        <w:rPr>
          <w:spacing w:val="-14"/>
        </w:rPr>
        <w:t xml:space="preserve"> </w:t>
      </w:r>
      <w:r>
        <w:t>the</w:t>
      </w:r>
      <w:r>
        <w:rPr>
          <w:spacing w:val="-13"/>
        </w:rPr>
        <w:t xml:space="preserve"> </w:t>
      </w:r>
      <w:r>
        <w:t>AGM</w:t>
      </w:r>
      <w:r>
        <w:rPr>
          <w:spacing w:val="-14"/>
        </w:rPr>
        <w:t xml:space="preserve"> </w:t>
      </w:r>
      <w:r>
        <w:t>through the respective systems. For voting services offered by custodians holding Irish corporate securities directly with Euroclear Bank, please contact your custodian.</w:t>
      </w:r>
    </w:p>
    <w:p w14:paraId="772DA0B1" w14:textId="77777777" w:rsidR="00E16316" w:rsidRDefault="00E16316">
      <w:pPr>
        <w:pStyle w:val="BodyText"/>
        <w:ind w:left="0"/>
        <w:jc w:val="left"/>
        <w:rPr>
          <w:b/>
        </w:rPr>
      </w:pPr>
    </w:p>
    <w:p w14:paraId="772DA0B2" w14:textId="77777777" w:rsidR="00E16316" w:rsidRDefault="007F6EE9">
      <w:pPr>
        <w:pStyle w:val="BodyText"/>
        <w:ind w:left="120"/>
      </w:pPr>
      <w:r>
        <w:t>You</w:t>
      </w:r>
      <w:r>
        <w:rPr>
          <w:spacing w:val="-5"/>
        </w:rPr>
        <w:t xml:space="preserve"> </w:t>
      </w:r>
      <w:r>
        <w:t>can</w:t>
      </w:r>
      <w:r>
        <w:rPr>
          <w:spacing w:val="-5"/>
        </w:rPr>
        <w:t xml:space="preserve"> </w:t>
      </w:r>
      <w:r>
        <w:t>exercise</w:t>
      </w:r>
      <w:r>
        <w:rPr>
          <w:spacing w:val="-4"/>
        </w:rPr>
        <w:t xml:space="preserve"> </w:t>
      </w:r>
      <w:r>
        <w:t>your</w:t>
      </w:r>
      <w:r>
        <w:rPr>
          <w:spacing w:val="-3"/>
        </w:rPr>
        <w:t xml:space="preserve"> </w:t>
      </w:r>
      <w:r>
        <w:t>right</w:t>
      </w:r>
      <w:r>
        <w:rPr>
          <w:spacing w:val="-6"/>
        </w:rPr>
        <w:t xml:space="preserve"> </w:t>
      </w:r>
      <w:r>
        <w:t>to</w:t>
      </w:r>
      <w:r>
        <w:rPr>
          <w:spacing w:val="-5"/>
        </w:rPr>
        <w:t xml:space="preserve"> </w:t>
      </w:r>
      <w:r>
        <w:t>vote</w:t>
      </w:r>
      <w:r>
        <w:rPr>
          <w:spacing w:val="-6"/>
        </w:rPr>
        <w:t xml:space="preserve"> </w:t>
      </w:r>
      <w:r>
        <w:t>in</w:t>
      </w:r>
      <w:r>
        <w:rPr>
          <w:spacing w:val="-5"/>
        </w:rPr>
        <w:t xml:space="preserve"> </w:t>
      </w:r>
      <w:r>
        <w:t>the</w:t>
      </w:r>
      <w:r>
        <w:rPr>
          <w:spacing w:val="-4"/>
        </w:rPr>
        <w:t xml:space="preserve"> </w:t>
      </w:r>
      <w:r>
        <w:t>following</w:t>
      </w:r>
      <w:r>
        <w:rPr>
          <w:spacing w:val="-6"/>
        </w:rPr>
        <w:t xml:space="preserve"> </w:t>
      </w:r>
      <w:r>
        <w:rPr>
          <w:spacing w:val="-4"/>
        </w:rPr>
        <w:t>ways:</w:t>
      </w:r>
    </w:p>
    <w:p w14:paraId="772DA0B3" w14:textId="77777777" w:rsidR="00E16316" w:rsidRDefault="00E16316">
      <w:pPr>
        <w:pStyle w:val="BodyText"/>
        <w:ind w:left="0"/>
        <w:jc w:val="left"/>
      </w:pPr>
    </w:p>
    <w:p w14:paraId="772DA0B4" w14:textId="427A0FF9" w:rsidR="00E16316" w:rsidRDefault="007F6EE9">
      <w:pPr>
        <w:pStyle w:val="ListParagraph"/>
        <w:numPr>
          <w:ilvl w:val="0"/>
          <w:numId w:val="2"/>
        </w:numPr>
        <w:tabs>
          <w:tab w:val="left" w:pos="838"/>
          <w:tab w:val="left" w:pos="840"/>
        </w:tabs>
        <w:spacing w:before="0"/>
        <w:ind w:right="111"/>
        <w:jc w:val="both"/>
      </w:pPr>
      <w:r>
        <w:t>If</w:t>
      </w:r>
      <w:r>
        <w:rPr>
          <w:spacing w:val="-3"/>
        </w:rPr>
        <w:t xml:space="preserve"> </w:t>
      </w:r>
      <w:r>
        <w:t>you</w:t>
      </w:r>
      <w:r>
        <w:rPr>
          <w:spacing w:val="-4"/>
        </w:rPr>
        <w:t xml:space="preserve"> </w:t>
      </w:r>
      <w:r>
        <w:t>are</w:t>
      </w:r>
      <w:r>
        <w:rPr>
          <w:spacing w:val="-6"/>
        </w:rPr>
        <w:t xml:space="preserve"> </w:t>
      </w:r>
      <w:r>
        <w:t>a</w:t>
      </w:r>
      <w:r>
        <w:rPr>
          <w:spacing w:val="-3"/>
        </w:rPr>
        <w:t xml:space="preserve"> </w:t>
      </w:r>
      <w:r w:rsidR="004339DA">
        <w:t>registered</w:t>
      </w:r>
      <w:r w:rsidR="004339DA">
        <w:rPr>
          <w:spacing w:val="-4"/>
        </w:rPr>
        <w:t xml:space="preserve"> </w:t>
      </w:r>
      <w:r w:rsidR="004339DA">
        <w:t>member</w:t>
      </w:r>
      <w:r w:rsidR="004339DA">
        <w:rPr>
          <w:spacing w:val="-3"/>
        </w:rPr>
        <w:t xml:space="preserve"> </w:t>
      </w:r>
      <w:r>
        <w:t>(i.e.</w:t>
      </w:r>
      <w:r>
        <w:rPr>
          <w:spacing w:val="-4"/>
        </w:rPr>
        <w:t xml:space="preserve"> </w:t>
      </w:r>
      <w:r>
        <w:t>shareholders</w:t>
      </w:r>
      <w:r>
        <w:rPr>
          <w:spacing w:val="-3"/>
        </w:rPr>
        <w:t xml:space="preserve"> </w:t>
      </w:r>
      <w:r>
        <w:t>whose</w:t>
      </w:r>
      <w:r>
        <w:rPr>
          <w:spacing w:val="-3"/>
        </w:rPr>
        <w:t xml:space="preserve"> </w:t>
      </w:r>
      <w:r>
        <w:t>names</w:t>
      </w:r>
      <w:r>
        <w:rPr>
          <w:spacing w:val="-6"/>
        </w:rPr>
        <w:t xml:space="preserve"> </w:t>
      </w:r>
      <w:r>
        <w:t>appear</w:t>
      </w:r>
      <w:r>
        <w:rPr>
          <w:spacing w:val="-3"/>
        </w:rPr>
        <w:t xml:space="preserve"> </w:t>
      </w:r>
      <w:r>
        <w:t>on</w:t>
      </w:r>
      <w:r>
        <w:rPr>
          <w:spacing w:val="-6"/>
        </w:rPr>
        <w:t xml:space="preserve"> </w:t>
      </w:r>
      <w:r>
        <w:t>the</w:t>
      </w:r>
      <w:r>
        <w:rPr>
          <w:spacing w:val="-6"/>
        </w:rPr>
        <w:t xml:space="preserve"> </w:t>
      </w:r>
      <w:r>
        <w:t>register</w:t>
      </w:r>
      <w:r>
        <w:rPr>
          <w:spacing w:val="-3"/>
        </w:rPr>
        <w:t xml:space="preserve"> </w:t>
      </w:r>
      <w:r>
        <w:t>of members of the Company</w:t>
      </w:r>
      <w:r w:rsidR="009A71CC">
        <w:t>. Such shareholders</w:t>
      </w:r>
      <w:r w:rsidR="004339DA">
        <w:t xml:space="preserve"> currently hold in book-entry form following demateriali</w:t>
      </w:r>
      <w:r w:rsidR="009A71CC">
        <w:t>s</w:t>
      </w:r>
      <w:r w:rsidR="004339DA">
        <w:t>ation, and formerly held in certificated form</w:t>
      </w:r>
      <w:r>
        <w:t>), subject to any prevailing restrictions (if any), by attending the AGM in person or by</w:t>
      </w:r>
      <w:r>
        <w:rPr>
          <w:spacing w:val="-2"/>
        </w:rPr>
        <w:t xml:space="preserve"> </w:t>
      </w:r>
      <w:r>
        <w:t>appointing the chair</w:t>
      </w:r>
      <w:r>
        <w:rPr>
          <w:spacing w:val="-1"/>
        </w:rPr>
        <w:t xml:space="preserve"> </w:t>
      </w:r>
      <w:r>
        <w:t>of</w:t>
      </w:r>
      <w:r>
        <w:rPr>
          <w:spacing w:val="-1"/>
        </w:rPr>
        <w:t xml:space="preserve"> </w:t>
      </w:r>
      <w:r>
        <w:t>the AGM</w:t>
      </w:r>
      <w:r>
        <w:rPr>
          <w:spacing w:val="-2"/>
        </w:rPr>
        <w:t xml:space="preserve"> </w:t>
      </w:r>
      <w:r>
        <w:t>or another person as</w:t>
      </w:r>
      <w:r>
        <w:rPr>
          <w:spacing w:val="-2"/>
        </w:rPr>
        <w:t xml:space="preserve"> </w:t>
      </w:r>
      <w:r>
        <w:t>a proxy to vote on your behalf;</w:t>
      </w:r>
    </w:p>
    <w:p w14:paraId="772DA0B5" w14:textId="77777777" w:rsidR="00E16316" w:rsidRDefault="007F6EE9">
      <w:pPr>
        <w:pStyle w:val="ListParagraph"/>
        <w:numPr>
          <w:ilvl w:val="0"/>
          <w:numId w:val="2"/>
        </w:numPr>
        <w:tabs>
          <w:tab w:val="left" w:pos="838"/>
          <w:tab w:val="left" w:pos="840"/>
        </w:tabs>
        <w:spacing w:before="222"/>
        <w:ind w:right="112"/>
        <w:jc w:val="both"/>
      </w:pPr>
      <w:r>
        <w:t>If</w:t>
      </w:r>
      <w:r>
        <w:rPr>
          <w:spacing w:val="-1"/>
        </w:rPr>
        <w:t xml:space="preserve"> </w:t>
      </w:r>
      <w:r>
        <w:t>you</w:t>
      </w:r>
      <w:r>
        <w:rPr>
          <w:spacing w:val="-2"/>
        </w:rPr>
        <w:t xml:space="preserve"> </w:t>
      </w:r>
      <w:r>
        <w:t>hold</w:t>
      </w:r>
      <w:r>
        <w:rPr>
          <w:spacing w:val="-5"/>
        </w:rPr>
        <w:t xml:space="preserve"> </w:t>
      </w:r>
      <w:r>
        <w:t>your</w:t>
      </w:r>
      <w:r>
        <w:rPr>
          <w:spacing w:val="-4"/>
        </w:rPr>
        <w:t xml:space="preserve"> </w:t>
      </w:r>
      <w:r>
        <w:t>interests</w:t>
      </w:r>
      <w:r>
        <w:rPr>
          <w:spacing w:val="-4"/>
        </w:rPr>
        <w:t xml:space="preserve"> </w:t>
      </w:r>
      <w:r>
        <w:t>in</w:t>
      </w:r>
      <w:r>
        <w:rPr>
          <w:spacing w:val="-5"/>
        </w:rPr>
        <w:t xml:space="preserve"> </w:t>
      </w:r>
      <w:r>
        <w:t>the</w:t>
      </w:r>
      <w:r>
        <w:rPr>
          <w:spacing w:val="-4"/>
        </w:rPr>
        <w:t xml:space="preserve"> </w:t>
      </w:r>
      <w:r>
        <w:t>Company’s</w:t>
      </w:r>
      <w:r>
        <w:rPr>
          <w:spacing w:val="-2"/>
        </w:rPr>
        <w:t xml:space="preserve"> </w:t>
      </w:r>
      <w:r>
        <w:t>ordinary</w:t>
      </w:r>
      <w:r>
        <w:rPr>
          <w:spacing w:val="-2"/>
        </w:rPr>
        <w:t xml:space="preserve"> </w:t>
      </w:r>
      <w:r>
        <w:t>shares</w:t>
      </w:r>
      <w:r>
        <w:rPr>
          <w:spacing w:val="-4"/>
        </w:rPr>
        <w:t xml:space="preserve"> </w:t>
      </w:r>
      <w:r>
        <w:t>through</w:t>
      </w:r>
      <w:r>
        <w:rPr>
          <w:spacing w:val="-2"/>
        </w:rPr>
        <w:t xml:space="preserve"> </w:t>
      </w:r>
      <w:r>
        <w:t>a</w:t>
      </w:r>
      <w:r>
        <w:rPr>
          <w:spacing w:val="-4"/>
        </w:rPr>
        <w:t xml:space="preserve"> </w:t>
      </w:r>
      <w:r>
        <w:t>participant</w:t>
      </w:r>
      <w:r>
        <w:rPr>
          <w:spacing w:val="-4"/>
        </w:rPr>
        <w:t xml:space="preserve"> </w:t>
      </w:r>
      <w:r>
        <w:t>account</w:t>
      </w:r>
      <w:r>
        <w:rPr>
          <w:spacing w:val="-1"/>
        </w:rPr>
        <w:t xml:space="preserve"> </w:t>
      </w:r>
      <w:r>
        <w:t>in the EB System you can either send:</w:t>
      </w:r>
    </w:p>
    <w:p w14:paraId="772DA0B6" w14:textId="77777777" w:rsidR="00E16316" w:rsidRDefault="007F6EE9">
      <w:pPr>
        <w:pStyle w:val="ListParagraph"/>
        <w:numPr>
          <w:ilvl w:val="1"/>
          <w:numId w:val="2"/>
        </w:numPr>
        <w:tabs>
          <w:tab w:val="left" w:pos="1560"/>
        </w:tabs>
        <w:ind w:right="115"/>
        <w:jc w:val="both"/>
      </w:pPr>
      <w:r>
        <w:t>electronic voting instructions to Euroclear Bank via SWIFT or to EasyWay CorporateActions; or</w:t>
      </w:r>
    </w:p>
    <w:p w14:paraId="772DA0B7" w14:textId="77777777" w:rsidR="00E16316" w:rsidRDefault="007F6EE9">
      <w:pPr>
        <w:pStyle w:val="ListParagraph"/>
        <w:numPr>
          <w:ilvl w:val="1"/>
          <w:numId w:val="2"/>
        </w:numPr>
        <w:tabs>
          <w:tab w:val="left" w:pos="1560"/>
        </w:tabs>
        <w:ind w:right="111" w:hanging="720"/>
        <w:jc w:val="both"/>
      </w:pPr>
      <w:r>
        <w:t>a proxy voting instruction to Euroclear Bank to appoint a third party (other than Euroclear Nominees Limited (i.e. the nominee of Euroclear Bank) (“</w:t>
      </w:r>
      <w:r>
        <w:rPr>
          <w:b/>
        </w:rPr>
        <w:t>Euroclear Nominees</w:t>
      </w:r>
      <w:r>
        <w:t>”)</w:t>
      </w:r>
      <w:r>
        <w:rPr>
          <w:spacing w:val="-5"/>
        </w:rPr>
        <w:t xml:space="preserve"> </w:t>
      </w:r>
      <w:r>
        <w:t>or</w:t>
      </w:r>
      <w:r>
        <w:rPr>
          <w:spacing w:val="-5"/>
        </w:rPr>
        <w:t xml:space="preserve"> </w:t>
      </w:r>
      <w:r>
        <w:t>the</w:t>
      </w:r>
      <w:r>
        <w:rPr>
          <w:spacing w:val="-6"/>
        </w:rPr>
        <w:t xml:space="preserve"> </w:t>
      </w:r>
      <w:r>
        <w:t>chair</w:t>
      </w:r>
      <w:r>
        <w:rPr>
          <w:spacing w:val="-5"/>
        </w:rPr>
        <w:t xml:space="preserve"> </w:t>
      </w:r>
      <w:r>
        <w:t>of</w:t>
      </w:r>
      <w:r>
        <w:rPr>
          <w:spacing w:val="-8"/>
        </w:rPr>
        <w:t xml:space="preserve"> </w:t>
      </w:r>
      <w:r>
        <w:t>the</w:t>
      </w:r>
      <w:r>
        <w:rPr>
          <w:spacing w:val="-6"/>
        </w:rPr>
        <w:t xml:space="preserve"> </w:t>
      </w:r>
      <w:r>
        <w:t>AGM),</w:t>
      </w:r>
      <w:r>
        <w:rPr>
          <w:spacing w:val="-6"/>
        </w:rPr>
        <w:t xml:space="preserve"> </w:t>
      </w:r>
      <w:r>
        <w:t>subject</w:t>
      </w:r>
      <w:r>
        <w:rPr>
          <w:spacing w:val="-5"/>
        </w:rPr>
        <w:t xml:space="preserve"> </w:t>
      </w:r>
      <w:r>
        <w:t>to</w:t>
      </w:r>
      <w:r>
        <w:rPr>
          <w:spacing w:val="-6"/>
        </w:rPr>
        <w:t xml:space="preserve"> </w:t>
      </w:r>
      <w:r>
        <w:t>any</w:t>
      </w:r>
      <w:r>
        <w:rPr>
          <w:spacing w:val="-6"/>
        </w:rPr>
        <w:t xml:space="preserve"> </w:t>
      </w:r>
      <w:r>
        <w:t>prevailing</w:t>
      </w:r>
      <w:r>
        <w:rPr>
          <w:spacing w:val="-6"/>
        </w:rPr>
        <w:t xml:space="preserve"> </w:t>
      </w:r>
      <w:r>
        <w:t>restrictions</w:t>
      </w:r>
      <w:r>
        <w:rPr>
          <w:spacing w:val="-8"/>
        </w:rPr>
        <w:t xml:space="preserve"> </w:t>
      </w:r>
      <w:r>
        <w:t>(if</w:t>
      </w:r>
      <w:r>
        <w:rPr>
          <w:spacing w:val="-5"/>
        </w:rPr>
        <w:t xml:space="preserve"> </w:t>
      </w:r>
      <w:r>
        <w:t>any), to attend and vote at the AGM;</w:t>
      </w:r>
    </w:p>
    <w:p w14:paraId="772DA0B8" w14:textId="77777777" w:rsidR="00E16316" w:rsidRDefault="007F6EE9">
      <w:pPr>
        <w:pStyle w:val="ListParagraph"/>
        <w:numPr>
          <w:ilvl w:val="0"/>
          <w:numId w:val="2"/>
        </w:numPr>
        <w:tabs>
          <w:tab w:val="left" w:pos="840"/>
        </w:tabs>
        <w:ind w:right="116" w:hanging="720"/>
        <w:jc w:val="both"/>
      </w:pPr>
      <w:r>
        <w:t>If you hold your interests in the Company’s ordinary shares as CREST Depositary Instruments(“</w:t>
      </w:r>
      <w:r>
        <w:rPr>
          <w:b/>
        </w:rPr>
        <w:t>CDIs</w:t>
      </w:r>
      <w:r>
        <w:t>”) through CREST you can either:</w:t>
      </w:r>
    </w:p>
    <w:p w14:paraId="772DA0B9" w14:textId="77777777" w:rsidR="00E16316" w:rsidRDefault="007F6EE9">
      <w:pPr>
        <w:pStyle w:val="ListParagraph"/>
        <w:numPr>
          <w:ilvl w:val="1"/>
          <w:numId w:val="2"/>
        </w:numPr>
        <w:tabs>
          <w:tab w:val="left" w:pos="1560"/>
        </w:tabs>
        <w:spacing w:before="221"/>
        <w:ind w:right="119"/>
        <w:jc w:val="both"/>
      </w:pPr>
      <w:r>
        <w:t>send electronic voting instructions to Euroclear Bank via Broadridge Financial Solutions Limited (“</w:t>
      </w:r>
      <w:r>
        <w:rPr>
          <w:b/>
        </w:rPr>
        <w:t>Broadridge</w:t>
      </w:r>
      <w:r>
        <w:t>”); or</w:t>
      </w:r>
    </w:p>
    <w:p w14:paraId="772DA0BA" w14:textId="77777777" w:rsidR="00E16316" w:rsidRDefault="007F6EE9">
      <w:pPr>
        <w:pStyle w:val="ListParagraph"/>
        <w:numPr>
          <w:ilvl w:val="1"/>
          <w:numId w:val="2"/>
        </w:numPr>
        <w:tabs>
          <w:tab w:val="left" w:pos="1560"/>
        </w:tabs>
        <w:ind w:hanging="722"/>
      </w:pPr>
      <w:r>
        <w:t>appoint</w:t>
      </w:r>
      <w:r>
        <w:rPr>
          <w:spacing w:val="-3"/>
        </w:rPr>
        <w:t xml:space="preserve"> </w:t>
      </w:r>
      <w:r>
        <w:t>a</w:t>
      </w:r>
      <w:r>
        <w:rPr>
          <w:spacing w:val="-8"/>
        </w:rPr>
        <w:t xml:space="preserve"> </w:t>
      </w:r>
      <w:r>
        <w:t>proxy</w:t>
      </w:r>
      <w:r>
        <w:rPr>
          <w:spacing w:val="-6"/>
        </w:rPr>
        <w:t xml:space="preserve"> </w:t>
      </w:r>
      <w:r>
        <w:t>via</w:t>
      </w:r>
      <w:r>
        <w:rPr>
          <w:spacing w:val="-5"/>
        </w:rPr>
        <w:t xml:space="preserve"> </w:t>
      </w:r>
      <w:r>
        <w:t>the</w:t>
      </w:r>
      <w:r>
        <w:rPr>
          <w:spacing w:val="-3"/>
        </w:rPr>
        <w:t xml:space="preserve"> </w:t>
      </w:r>
      <w:r>
        <w:t>Broadridge</w:t>
      </w:r>
      <w:r>
        <w:rPr>
          <w:spacing w:val="-5"/>
        </w:rPr>
        <w:t xml:space="preserve"> </w:t>
      </w:r>
      <w:r>
        <w:t>Global</w:t>
      </w:r>
      <w:r>
        <w:rPr>
          <w:spacing w:val="-3"/>
        </w:rPr>
        <w:t xml:space="preserve"> </w:t>
      </w:r>
      <w:r>
        <w:t>Proxy</w:t>
      </w:r>
      <w:r>
        <w:rPr>
          <w:spacing w:val="-7"/>
        </w:rPr>
        <w:t xml:space="preserve"> </w:t>
      </w:r>
      <w:r>
        <w:t>Voting</w:t>
      </w:r>
      <w:r>
        <w:rPr>
          <w:spacing w:val="-6"/>
        </w:rPr>
        <w:t xml:space="preserve"> </w:t>
      </w:r>
      <w:r>
        <w:rPr>
          <w:spacing w:val="-2"/>
        </w:rPr>
        <w:t>service.</w:t>
      </w:r>
    </w:p>
    <w:p w14:paraId="772DA0BB" w14:textId="77777777" w:rsidR="00E16316" w:rsidRDefault="00E16316">
      <w:pPr>
        <w:pStyle w:val="BodyText"/>
        <w:spacing w:before="192"/>
        <w:ind w:left="0"/>
        <w:jc w:val="left"/>
      </w:pPr>
    </w:p>
    <w:p w14:paraId="772DA0BC" w14:textId="6DC4064C" w:rsidR="00E16316" w:rsidRDefault="007F6EE9">
      <w:pPr>
        <w:pStyle w:val="Heading1"/>
        <w:spacing w:before="1"/>
      </w:pPr>
      <w:bookmarkStart w:id="1" w:name="Further_Information_for_Shareholders_hol"/>
      <w:bookmarkEnd w:id="1"/>
      <w:r>
        <w:t>Further</w:t>
      </w:r>
      <w:r>
        <w:rPr>
          <w:spacing w:val="-10"/>
        </w:rPr>
        <w:t xml:space="preserve"> </w:t>
      </w:r>
      <w:r>
        <w:t>Information</w:t>
      </w:r>
      <w:r>
        <w:rPr>
          <w:spacing w:val="-10"/>
        </w:rPr>
        <w:t xml:space="preserve"> </w:t>
      </w:r>
      <w:r>
        <w:t>for</w:t>
      </w:r>
      <w:r>
        <w:rPr>
          <w:spacing w:val="-7"/>
        </w:rPr>
        <w:t xml:space="preserve"> </w:t>
      </w:r>
      <w:r>
        <w:t>Shareholders</w:t>
      </w:r>
      <w:r>
        <w:rPr>
          <w:spacing w:val="-9"/>
        </w:rPr>
        <w:t xml:space="preserve"> </w:t>
      </w:r>
      <w:r>
        <w:t>holding</w:t>
      </w:r>
      <w:r>
        <w:rPr>
          <w:spacing w:val="-8"/>
        </w:rPr>
        <w:t xml:space="preserve"> </w:t>
      </w:r>
      <w:r>
        <w:t>shares</w:t>
      </w:r>
      <w:r>
        <w:rPr>
          <w:spacing w:val="-7"/>
        </w:rPr>
        <w:t xml:space="preserve"> </w:t>
      </w:r>
      <w:r>
        <w:t>in</w:t>
      </w:r>
      <w:r>
        <w:rPr>
          <w:spacing w:val="-8"/>
        </w:rPr>
        <w:t xml:space="preserve"> </w:t>
      </w:r>
      <w:r w:rsidR="004339DA">
        <w:t>book-entry</w:t>
      </w:r>
      <w:r w:rsidR="004339DA">
        <w:rPr>
          <w:spacing w:val="-10"/>
        </w:rPr>
        <w:t xml:space="preserve"> </w:t>
      </w:r>
      <w:r>
        <w:rPr>
          <w:spacing w:val="-4"/>
        </w:rPr>
        <w:t>form</w:t>
      </w:r>
    </w:p>
    <w:p w14:paraId="772DA0BE" w14:textId="78FCFC41" w:rsidR="00E16316" w:rsidRDefault="007F6EE9" w:rsidP="000342D3">
      <w:pPr>
        <w:pStyle w:val="BodyText"/>
        <w:spacing w:before="217"/>
        <w:ind w:left="120" w:right="110"/>
      </w:pPr>
      <w:r>
        <w:t>Shareholders</w:t>
      </w:r>
      <w:r>
        <w:rPr>
          <w:spacing w:val="-14"/>
        </w:rPr>
        <w:t xml:space="preserve"> </w:t>
      </w:r>
      <w:r>
        <w:t>whose</w:t>
      </w:r>
      <w:r>
        <w:rPr>
          <w:spacing w:val="-14"/>
        </w:rPr>
        <w:t xml:space="preserve"> </w:t>
      </w:r>
      <w:r>
        <w:t>names</w:t>
      </w:r>
      <w:r>
        <w:rPr>
          <w:spacing w:val="-14"/>
        </w:rPr>
        <w:t xml:space="preserve"> </w:t>
      </w:r>
      <w:r>
        <w:t>appear</w:t>
      </w:r>
      <w:r>
        <w:rPr>
          <w:spacing w:val="-13"/>
        </w:rPr>
        <w:t xml:space="preserve"> </w:t>
      </w:r>
      <w:r>
        <w:t>on</w:t>
      </w:r>
      <w:r>
        <w:rPr>
          <w:spacing w:val="-14"/>
        </w:rPr>
        <w:t xml:space="preserve"> </w:t>
      </w:r>
      <w:r>
        <w:t>the</w:t>
      </w:r>
      <w:r>
        <w:rPr>
          <w:spacing w:val="-14"/>
        </w:rPr>
        <w:t xml:space="preserve"> </w:t>
      </w:r>
      <w:r>
        <w:t>register</w:t>
      </w:r>
      <w:r>
        <w:rPr>
          <w:spacing w:val="-14"/>
        </w:rPr>
        <w:t xml:space="preserve"> </w:t>
      </w:r>
      <w:r>
        <w:t>of</w:t>
      </w:r>
      <w:r>
        <w:rPr>
          <w:spacing w:val="-13"/>
        </w:rPr>
        <w:t xml:space="preserve"> </w:t>
      </w:r>
      <w:r>
        <w:t>members</w:t>
      </w:r>
      <w:r>
        <w:rPr>
          <w:spacing w:val="-14"/>
        </w:rPr>
        <w:t xml:space="preserve"> </w:t>
      </w:r>
      <w:r>
        <w:t>of</w:t>
      </w:r>
      <w:r>
        <w:rPr>
          <w:spacing w:val="-14"/>
        </w:rPr>
        <w:t xml:space="preserve"> </w:t>
      </w:r>
      <w:r>
        <w:t>the</w:t>
      </w:r>
      <w:r>
        <w:rPr>
          <w:spacing w:val="-14"/>
        </w:rPr>
        <w:t xml:space="preserve"> </w:t>
      </w:r>
      <w:r>
        <w:t>Company</w:t>
      </w:r>
      <w:r>
        <w:rPr>
          <w:spacing w:val="-13"/>
        </w:rPr>
        <w:t xml:space="preserve"> </w:t>
      </w:r>
      <w:r>
        <w:t>(i.e.</w:t>
      </w:r>
      <w:r>
        <w:rPr>
          <w:spacing w:val="-14"/>
        </w:rPr>
        <w:t xml:space="preserve"> </w:t>
      </w:r>
      <w:r>
        <w:t>those</w:t>
      </w:r>
      <w:r>
        <w:rPr>
          <w:spacing w:val="-14"/>
        </w:rPr>
        <w:t xml:space="preserve"> </w:t>
      </w:r>
      <w:r>
        <w:t xml:space="preserve">shareholders who hold their ordinary shares in </w:t>
      </w:r>
      <w:r w:rsidR="004339DA">
        <w:t>book-entry form (and would have formerly held in certificated form prior to dematerialisation)</w:t>
      </w:r>
      <w:r>
        <w:t xml:space="preserve"> (who have not elected for eComms) and who therefore do not hold their interests in ordinary shares through the EB System or as CDIs through CREST) will receive a Form of Proxy by post which must be completed and signed in accordance with the instructions printed on the form and returned by post to Computershare Investor Services (Ireland) Limited, P.O. Box 13030, Dublin 24, Ireland (if delivered by post) or to 3100 Lake Drive, Citywest</w:t>
      </w:r>
      <w:r>
        <w:rPr>
          <w:spacing w:val="12"/>
        </w:rPr>
        <w:t xml:space="preserve"> </w:t>
      </w:r>
      <w:r>
        <w:t>Business</w:t>
      </w:r>
      <w:r>
        <w:rPr>
          <w:spacing w:val="12"/>
        </w:rPr>
        <w:t xml:space="preserve"> </w:t>
      </w:r>
      <w:r>
        <w:t>Campus,</w:t>
      </w:r>
      <w:r>
        <w:rPr>
          <w:spacing w:val="11"/>
        </w:rPr>
        <w:t xml:space="preserve"> </w:t>
      </w:r>
      <w:r>
        <w:t>Dublin</w:t>
      </w:r>
      <w:r>
        <w:rPr>
          <w:spacing w:val="11"/>
        </w:rPr>
        <w:t xml:space="preserve"> </w:t>
      </w:r>
      <w:r>
        <w:t>24,</w:t>
      </w:r>
      <w:r>
        <w:rPr>
          <w:spacing w:val="11"/>
        </w:rPr>
        <w:t xml:space="preserve"> </w:t>
      </w:r>
      <w:r>
        <w:t>D24</w:t>
      </w:r>
      <w:r>
        <w:rPr>
          <w:spacing w:val="9"/>
        </w:rPr>
        <w:t xml:space="preserve"> </w:t>
      </w:r>
      <w:r>
        <w:t>AK82,</w:t>
      </w:r>
      <w:r>
        <w:rPr>
          <w:spacing w:val="11"/>
        </w:rPr>
        <w:t xml:space="preserve"> </w:t>
      </w:r>
      <w:r>
        <w:t>Ireland</w:t>
      </w:r>
      <w:r>
        <w:rPr>
          <w:spacing w:val="10"/>
        </w:rPr>
        <w:t xml:space="preserve"> </w:t>
      </w:r>
      <w:r>
        <w:t>(if</w:t>
      </w:r>
      <w:r>
        <w:rPr>
          <w:spacing w:val="12"/>
        </w:rPr>
        <w:t xml:space="preserve"> </w:t>
      </w:r>
      <w:r>
        <w:t>delivered</w:t>
      </w:r>
      <w:r>
        <w:rPr>
          <w:spacing w:val="9"/>
        </w:rPr>
        <w:t xml:space="preserve"> </w:t>
      </w:r>
      <w:r>
        <w:t>by</w:t>
      </w:r>
      <w:r>
        <w:rPr>
          <w:spacing w:val="11"/>
        </w:rPr>
        <w:t xml:space="preserve"> </w:t>
      </w:r>
      <w:r>
        <w:t>hand)</w:t>
      </w:r>
      <w:r>
        <w:rPr>
          <w:spacing w:val="12"/>
        </w:rPr>
        <w:t xml:space="preserve"> </w:t>
      </w:r>
      <w:r>
        <w:t>by</w:t>
      </w:r>
      <w:r>
        <w:rPr>
          <w:spacing w:val="11"/>
        </w:rPr>
        <w:t xml:space="preserve"> </w:t>
      </w:r>
      <w:r>
        <w:t>no</w:t>
      </w:r>
      <w:r>
        <w:rPr>
          <w:spacing w:val="9"/>
        </w:rPr>
        <w:t xml:space="preserve"> </w:t>
      </w:r>
      <w:r>
        <w:t>later</w:t>
      </w:r>
      <w:r>
        <w:rPr>
          <w:spacing w:val="13"/>
        </w:rPr>
        <w:t xml:space="preserve"> </w:t>
      </w:r>
      <w:r>
        <w:rPr>
          <w:spacing w:val="-4"/>
        </w:rPr>
        <w:t>than</w:t>
      </w:r>
      <w:r w:rsidR="000342D3">
        <w:t xml:space="preserve"> </w:t>
      </w:r>
      <w:r>
        <w:t>11.00 a.m. (Irish time) on 2</w:t>
      </w:r>
      <w:r w:rsidR="000F3D9B">
        <w:t>7</w:t>
      </w:r>
      <w:r>
        <w:t xml:space="preserve"> April 202</w:t>
      </w:r>
      <w:r w:rsidR="000F3D9B">
        <w:t>6</w:t>
      </w:r>
      <w:r>
        <w:t>. The completion and return of a Form of Proxy will not preclude</w:t>
      </w:r>
      <w:r>
        <w:rPr>
          <w:spacing w:val="-3"/>
        </w:rPr>
        <w:t xml:space="preserve"> </w:t>
      </w:r>
      <w:r>
        <w:t>shareholders</w:t>
      </w:r>
      <w:r>
        <w:rPr>
          <w:spacing w:val="-1"/>
        </w:rPr>
        <w:t xml:space="preserve"> </w:t>
      </w:r>
      <w:r>
        <w:t>from</w:t>
      </w:r>
      <w:r>
        <w:rPr>
          <w:spacing w:val="-3"/>
        </w:rPr>
        <w:t xml:space="preserve"> </w:t>
      </w:r>
      <w:r>
        <w:t>attending</w:t>
      </w:r>
      <w:r>
        <w:rPr>
          <w:spacing w:val="-1"/>
        </w:rPr>
        <w:t xml:space="preserve"> </w:t>
      </w:r>
      <w:r>
        <w:t>and</w:t>
      </w:r>
      <w:r>
        <w:rPr>
          <w:spacing w:val="-1"/>
        </w:rPr>
        <w:t xml:space="preserve"> </w:t>
      </w:r>
      <w:r>
        <w:t>voting</w:t>
      </w:r>
      <w:r>
        <w:rPr>
          <w:spacing w:val="-1"/>
        </w:rPr>
        <w:t xml:space="preserve"> </w:t>
      </w:r>
      <w:r>
        <w:t>in</w:t>
      </w:r>
      <w:r>
        <w:rPr>
          <w:spacing w:val="-4"/>
        </w:rPr>
        <w:t xml:space="preserve"> </w:t>
      </w:r>
      <w:r>
        <w:t>person</w:t>
      </w:r>
      <w:r>
        <w:rPr>
          <w:spacing w:val="-1"/>
        </w:rPr>
        <w:t xml:space="preserve"> </w:t>
      </w:r>
      <w:r>
        <w:t>at</w:t>
      </w:r>
      <w:r>
        <w:rPr>
          <w:spacing w:val="-3"/>
        </w:rPr>
        <w:t xml:space="preserve"> </w:t>
      </w:r>
      <w:r>
        <w:t>the</w:t>
      </w:r>
      <w:r>
        <w:rPr>
          <w:spacing w:val="-1"/>
        </w:rPr>
        <w:t xml:space="preserve"> </w:t>
      </w:r>
      <w:r>
        <w:t>AGM,</w:t>
      </w:r>
      <w:r>
        <w:rPr>
          <w:spacing w:val="-1"/>
        </w:rPr>
        <w:t xml:space="preserve"> </w:t>
      </w:r>
      <w:r>
        <w:t>or any</w:t>
      </w:r>
      <w:r>
        <w:rPr>
          <w:spacing w:val="-4"/>
        </w:rPr>
        <w:t xml:space="preserve"> </w:t>
      </w:r>
      <w:r>
        <w:t>adjournment thereof, should you wish to do so and subject to any prevailing restrictions in place (if any).</w:t>
      </w:r>
    </w:p>
    <w:p w14:paraId="772DA0BF" w14:textId="77777777" w:rsidR="00E16316" w:rsidRDefault="00E16316">
      <w:pPr>
        <w:sectPr w:rsidR="00E16316">
          <w:type w:val="continuous"/>
          <w:pgSz w:w="11920" w:h="16850"/>
          <w:pgMar w:top="1440" w:right="1440" w:bottom="280" w:left="1420" w:header="720" w:footer="720" w:gutter="0"/>
          <w:cols w:space="720"/>
        </w:sectPr>
      </w:pPr>
    </w:p>
    <w:p w14:paraId="772DA0C0" w14:textId="57E004BD" w:rsidR="00E16316" w:rsidRDefault="004339DA">
      <w:pPr>
        <w:pStyle w:val="BodyText"/>
        <w:spacing w:before="69"/>
        <w:ind w:left="120" w:right="108"/>
      </w:pPr>
      <w:r>
        <w:lastRenderedPageBreak/>
        <w:t>Registered</w:t>
      </w:r>
      <w:r>
        <w:rPr>
          <w:spacing w:val="-1"/>
        </w:rPr>
        <w:t xml:space="preserve"> </w:t>
      </w:r>
      <w:r w:rsidR="007F6EE9">
        <w:t>shareholders</w:t>
      </w:r>
      <w:r w:rsidR="007F6EE9">
        <w:rPr>
          <w:spacing w:val="-1"/>
        </w:rPr>
        <w:t xml:space="preserve"> </w:t>
      </w:r>
      <w:r w:rsidR="007F6EE9">
        <w:t>who</w:t>
      </w:r>
      <w:r w:rsidR="007F6EE9">
        <w:rPr>
          <w:spacing w:val="-1"/>
        </w:rPr>
        <w:t xml:space="preserve"> </w:t>
      </w:r>
      <w:r w:rsidR="007F6EE9">
        <w:t>wish</w:t>
      </w:r>
      <w:r w:rsidR="007F6EE9">
        <w:rPr>
          <w:spacing w:val="-1"/>
        </w:rPr>
        <w:t xml:space="preserve"> </w:t>
      </w:r>
      <w:r w:rsidR="007F6EE9">
        <w:t>to</w:t>
      </w:r>
      <w:r w:rsidR="007F6EE9">
        <w:rPr>
          <w:spacing w:val="-1"/>
        </w:rPr>
        <w:t xml:space="preserve"> </w:t>
      </w:r>
      <w:r w:rsidR="007F6EE9">
        <w:t>submit proxies</w:t>
      </w:r>
      <w:r w:rsidR="007F6EE9">
        <w:rPr>
          <w:spacing w:val="-1"/>
        </w:rPr>
        <w:t xml:space="preserve"> </w:t>
      </w:r>
      <w:r w:rsidR="007F6EE9">
        <w:t>by</w:t>
      </w:r>
      <w:r w:rsidR="007F6EE9">
        <w:rPr>
          <w:spacing w:val="-1"/>
        </w:rPr>
        <w:t xml:space="preserve"> </w:t>
      </w:r>
      <w:r w:rsidR="007F6EE9">
        <w:t>electronic</w:t>
      </w:r>
      <w:r w:rsidR="007F6EE9">
        <w:rPr>
          <w:spacing w:val="-3"/>
        </w:rPr>
        <w:t xml:space="preserve"> </w:t>
      </w:r>
      <w:r w:rsidR="007F6EE9">
        <w:t>means</w:t>
      </w:r>
      <w:r w:rsidR="007F6EE9">
        <w:rPr>
          <w:spacing w:val="-1"/>
        </w:rPr>
        <w:t xml:space="preserve"> </w:t>
      </w:r>
      <w:r w:rsidR="007F6EE9">
        <w:t>may</w:t>
      </w:r>
      <w:r w:rsidR="007F6EE9">
        <w:rPr>
          <w:spacing w:val="-1"/>
        </w:rPr>
        <w:t xml:space="preserve"> </w:t>
      </w:r>
      <w:r w:rsidR="007F6EE9">
        <w:t>do</w:t>
      </w:r>
      <w:r w:rsidR="007F6EE9">
        <w:rPr>
          <w:spacing w:val="-1"/>
        </w:rPr>
        <w:t xml:space="preserve"> </w:t>
      </w:r>
      <w:r w:rsidR="007F6EE9">
        <w:t>so</w:t>
      </w:r>
      <w:r w:rsidR="007F6EE9">
        <w:rPr>
          <w:spacing w:val="-1"/>
        </w:rPr>
        <w:t xml:space="preserve"> </w:t>
      </w:r>
      <w:r w:rsidR="007F6EE9">
        <w:t>up</w:t>
      </w:r>
      <w:r w:rsidR="007F6EE9">
        <w:rPr>
          <w:spacing w:val="-1"/>
        </w:rPr>
        <w:t xml:space="preserve"> </w:t>
      </w:r>
      <w:r w:rsidR="007F6EE9">
        <w:t>to</w:t>
      </w:r>
      <w:r w:rsidR="007F6EE9">
        <w:rPr>
          <w:spacing w:val="-1"/>
        </w:rPr>
        <w:t xml:space="preserve"> </w:t>
      </w:r>
      <w:r w:rsidR="007F6EE9">
        <w:t>the</w:t>
      </w:r>
      <w:r w:rsidR="007F6EE9">
        <w:rPr>
          <w:spacing w:val="-1"/>
        </w:rPr>
        <w:t xml:space="preserve"> </w:t>
      </w:r>
      <w:r w:rsidR="007F6EE9">
        <w:t xml:space="preserve">same deadline by logging on to </w:t>
      </w:r>
      <w:hyperlink r:id="rId7">
        <w:r w:rsidR="007F6EE9">
          <w:rPr>
            <w:color w:val="0000FF"/>
            <w:u w:val="single" w:color="0000FF"/>
          </w:rPr>
          <w:t>www.eproxyappointment.com.</w:t>
        </w:r>
      </w:hyperlink>
      <w:r w:rsidR="007F6EE9">
        <w:rPr>
          <w:color w:val="0000FF"/>
        </w:rPr>
        <w:t xml:space="preserve"> </w:t>
      </w:r>
      <w:r w:rsidR="007F6EE9">
        <w:t>To appoint a proxy on this website shareholders need</w:t>
      </w:r>
      <w:r w:rsidR="007F6EE9">
        <w:rPr>
          <w:spacing w:val="-1"/>
        </w:rPr>
        <w:t xml:space="preserve"> </w:t>
      </w:r>
      <w:r w:rsidR="007F6EE9">
        <w:t>to</w:t>
      </w:r>
      <w:r w:rsidR="007F6EE9">
        <w:rPr>
          <w:spacing w:val="-1"/>
        </w:rPr>
        <w:t xml:space="preserve"> </w:t>
      </w:r>
      <w:r w:rsidR="007F6EE9">
        <w:t>enter a</w:t>
      </w:r>
      <w:r w:rsidR="007F6EE9">
        <w:rPr>
          <w:spacing w:val="-1"/>
        </w:rPr>
        <w:t xml:space="preserve"> </w:t>
      </w:r>
      <w:r w:rsidR="007F6EE9">
        <w:t>Control Number,</w:t>
      </w:r>
      <w:r w:rsidR="007F6EE9">
        <w:rPr>
          <w:spacing w:val="-1"/>
        </w:rPr>
        <w:t xml:space="preserve"> </w:t>
      </w:r>
      <w:r w:rsidR="007F6EE9">
        <w:t>a Shareholder Reference Number (“</w:t>
      </w:r>
      <w:r w:rsidR="007F6EE9">
        <w:rPr>
          <w:b/>
        </w:rPr>
        <w:t>SRN</w:t>
      </w:r>
      <w:r w:rsidR="007F6EE9">
        <w:t>”) and a</w:t>
      </w:r>
      <w:r w:rsidR="007F6EE9">
        <w:rPr>
          <w:spacing w:val="-1"/>
        </w:rPr>
        <w:t xml:space="preserve"> </w:t>
      </w:r>
      <w:r w:rsidR="007F6EE9">
        <w:t>PIN and</w:t>
      </w:r>
      <w:r>
        <w:t xml:space="preserve"> </w:t>
      </w:r>
      <w:r w:rsidR="007F6EE9">
        <w:t>agree to the terms and conditions specified by the Company’s Registrar, Computershare</w:t>
      </w:r>
      <w:r w:rsidR="007F6EE9">
        <w:rPr>
          <w:spacing w:val="40"/>
        </w:rPr>
        <w:t xml:space="preserve"> </w:t>
      </w:r>
      <w:r w:rsidR="007F6EE9">
        <w:t>Investor Services (Ireland) Limited. The Control Number, SRN and PIN can be found on</w:t>
      </w:r>
      <w:r w:rsidR="007F6EE9">
        <w:rPr>
          <w:spacing w:val="-1"/>
        </w:rPr>
        <w:t xml:space="preserve"> </w:t>
      </w:r>
      <w:r w:rsidR="007F6EE9">
        <w:t>the top of the Form of Proxy</w:t>
      </w:r>
      <w:r w:rsidR="007F6EE9">
        <w:rPr>
          <w:spacing w:val="-1"/>
        </w:rPr>
        <w:t xml:space="preserve"> </w:t>
      </w:r>
      <w:r w:rsidR="007F6EE9">
        <w:t>enclosed</w:t>
      </w:r>
      <w:r w:rsidR="007F6EE9">
        <w:rPr>
          <w:spacing w:val="-1"/>
        </w:rPr>
        <w:t xml:space="preserve"> </w:t>
      </w:r>
      <w:r w:rsidR="007F6EE9">
        <w:t xml:space="preserve">with the AGM Notice. Shareholders who hold their ordinary shares in certificated form who have elected for eComms will receive a notification by email containing the relevant information to vote via </w:t>
      </w:r>
      <w:hyperlink r:id="rId8">
        <w:r w:rsidR="007F6EE9">
          <w:rPr>
            <w:color w:val="0000FF"/>
            <w:u w:val="single" w:color="0000FF"/>
          </w:rPr>
          <w:t>www.eproxyappointment.com.</w:t>
        </w:r>
      </w:hyperlink>
    </w:p>
    <w:p w14:paraId="772DA0C1" w14:textId="77777777" w:rsidR="00E16316" w:rsidRDefault="007F6EE9">
      <w:pPr>
        <w:pStyle w:val="Heading1"/>
        <w:spacing w:before="228"/>
      </w:pPr>
      <w:bookmarkStart w:id="2" w:name="Further_Information_for_Euroclear_Bank_P"/>
      <w:bookmarkEnd w:id="2"/>
      <w:r>
        <w:t>Further</w:t>
      </w:r>
      <w:r>
        <w:rPr>
          <w:spacing w:val="-8"/>
        </w:rPr>
        <w:t xml:space="preserve"> </w:t>
      </w:r>
      <w:r>
        <w:t>Information</w:t>
      </w:r>
      <w:r>
        <w:rPr>
          <w:spacing w:val="-8"/>
        </w:rPr>
        <w:t xml:space="preserve"> </w:t>
      </w:r>
      <w:r>
        <w:t>for</w:t>
      </w:r>
      <w:r>
        <w:rPr>
          <w:spacing w:val="-8"/>
        </w:rPr>
        <w:t xml:space="preserve"> </w:t>
      </w:r>
      <w:r>
        <w:t>Euroclear</w:t>
      </w:r>
      <w:r>
        <w:rPr>
          <w:spacing w:val="-6"/>
        </w:rPr>
        <w:t xml:space="preserve"> </w:t>
      </w:r>
      <w:r>
        <w:t>Bank</w:t>
      </w:r>
      <w:r>
        <w:rPr>
          <w:spacing w:val="-7"/>
        </w:rPr>
        <w:t xml:space="preserve"> </w:t>
      </w:r>
      <w:r>
        <w:rPr>
          <w:spacing w:val="-2"/>
        </w:rPr>
        <w:t>Participants</w:t>
      </w:r>
    </w:p>
    <w:p w14:paraId="772DA0C2" w14:textId="77777777" w:rsidR="00E16316" w:rsidRDefault="007F6EE9">
      <w:pPr>
        <w:pStyle w:val="BodyText"/>
        <w:spacing w:before="215"/>
        <w:ind w:left="120" w:right="105"/>
      </w:pPr>
      <w:r>
        <w:t>Persons who hold their interests in the Company’s ordinary shares through a participant account in the EB System (“</w:t>
      </w:r>
      <w:r>
        <w:rPr>
          <w:b/>
        </w:rPr>
        <w:t>EB Participants</w:t>
      </w:r>
      <w:r>
        <w:t>”) can submit proxy appointments (including voting instructions) electronically in the manner described in the document issued by Euroclear Bank in February 2021 and entitled “Euroclear Bank as issuer CSD for Irish corporate securities” (the “</w:t>
      </w:r>
      <w:r>
        <w:rPr>
          <w:b/>
        </w:rPr>
        <w:t>Euroclear Bank Service Description</w:t>
      </w:r>
      <w:r>
        <w:t>”). EB Participants can either send:</w:t>
      </w:r>
    </w:p>
    <w:p w14:paraId="772DA0C3" w14:textId="77777777" w:rsidR="00E16316" w:rsidRDefault="007F6EE9">
      <w:pPr>
        <w:pStyle w:val="ListParagraph"/>
        <w:numPr>
          <w:ilvl w:val="0"/>
          <w:numId w:val="1"/>
        </w:numPr>
        <w:tabs>
          <w:tab w:val="left" w:pos="838"/>
          <w:tab w:val="left" w:pos="840"/>
        </w:tabs>
        <w:spacing w:before="218"/>
        <w:ind w:right="113"/>
        <w:jc w:val="both"/>
      </w:pPr>
      <w:r>
        <w:t>electronic voting instructions to instruct Euroclear Nominees Limited (i.e. the nominee of Euroclear Bank) (“</w:t>
      </w:r>
      <w:r>
        <w:rPr>
          <w:b/>
        </w:rPr>
        <w:t>Euroclear</w:t>
      </w:r>
      <w:r>
        <w:rPr>
          <w:b/>
          <w:spacing w:val="-1"/>
        </w:rPr>
        <w:t xml:space="preserve"> </w:t>
      </w:r>
      <w:r>
        <w:rPr>
          <w:b/>
        </w:rPr>
        <w:t>Nominees</w:t>
      </w:r>
      <w:r>
        <w:t>”) to either itself or by appointing the chair of the AGM as proxy to:</w:t>
      </w:r>
    </w:p>
    <w:p w14:paraId="772DA0C4" w14:textId="77777777" w:rsidR="00E16316" w:rsidRDefault="007F6EE9">
      <w:pPr>
        <w:pStyle w:val="ListParagraph"/>
        <w:numPr>
          <w:ilvl w:val="1"/>
          <w:numId w:val="1"/>
        </w:numPr>
        <w:tabs>
          <w:tab w:val="left" w:pos="1560"/>
        </w:tabs>
        <w:spacing w:before="220"/>
        <w:ind w:hanging="722"/>
      </w:pPr>
      <w:r>
        <w:t>give</w:t>
      </w:r>
      <w:r>
        <w:rPr>
          <w:spacing w:val="-6"/>
        </w:rPr>
        <w:t xml:space="preserve"> </w:t>
      </w:r>
      <w:r>
        <w:t>a</w:t>
      </w:r>
      <w:r>
        <w:rPr>
          <w:spacing w:val="-7"/>
        </w:rPr>
        <w:t xml:space="preserve"> </w:t>
      </w:r>
      <w:r>
        <w:t>discretionary</w:t>
      </w:r>
      <w:r>
        <w:rPr>
          <w:spacing w:val="-7"/>
        </w:rPr>
        <w:t xml:space="preserve"> </w:t>
      </w:r>
      <w:r>
        <w:t>vote</w:t>
      </w:r>
      <w:r>
        <w:rPr>
          <w:spacing w:val="-4"/>
        </w:rPr>
        <w:t xml:space="preserve"> </w:t>
      </w:r>
      <w:r>
        <w:t>to</w:t>
      </w:r>
      <w:r>
        <w:rPr>
          <w:spacing w:val="-7"/>
        </w:rPr>
        <w:t xml:space="preserve"> </w:t>
      </w:r>
      <w:r>
        <w:t>the</w:t>
      </w:r>
      <w:r>
        <w:rPr>
          <w:spacing w:val="-4"/>
        </w:rPr>
        <w:t xml:space="preserve"> </w:t>
      </w:r>
      <w:r>
        <w:t>chair</w:t>
      </w:r>
      <w:r>
        <w:rPr>
          <w:spacing w:val="-3"/>
        </w:rPr>
        <w:t xml:space="preserve"> </w:t>
      </w:r>
      <w:r>
        <w:t>of</w:t>
      </w:r>
      <w:r>
        <w:rPr>
          <w:spacing w:val="-6"/>
        </w:rPr>
        <w:t xml:space="preserve"> </w:t>
      </w:r>
      <w:r>
        <w:t>the AGM</w:t>
      </w:r>
      <w:r>
        <w:rPr>
          <w:spacing w:val="-4"/>
        </w:rPr>
        <w:t xml:space="preserve"> </w:t>
      </w:r>
      <w:r>
        <w:t>for</w:t>
      </w:r>
      <w:r>
        <w:rPr>
          <w:spacing w:val="-4"/>
        </w:rPr>
        <w:t xml:space="preserve"> </w:t>
      </w:r>
      <w:r>
        <w:t>all</w:t>
      </w:r>
      <w:r>
        <w:rPr>
          <w:spacing w:val="-4"/>
        </w:rPr>
        <w:t xml:space="preserve"> </w:t>
      </w:r>
      <w:r>
        <w:t>or</w:t>
      </w:r>
      <w:r>
        <w:rPr>
          <w:spacing w:val="-6"/>
        </w:rPr>
        <w:t xml:space="preserve"> </w:t>
      </w:r>
      <w:r>
        <w:t>a</w:t>
      </w:r>
      <w:r>
        <w:rPr>
          <w:spacing w:val="-4"/>
        </w:rPr>
        <w:t xml:space="preserve"> </w:t>
      </w:r>
      <w:r>
        <w:t>specific</w:t>
      </w:r>
      <w:r>
        <w:rPr>
          <w:spacing w:val="-6"/>
        </w:rPr>
        <w:t xml:space="preserve"> </w:t>
      </w:r>
      <w:r>
        <w:rPr>
          <w:spacing w:val="-2"/>
        </w:rPr>
        <w:t>resolution(s);</w:t>
      </w:r>
    </w:p>
    <w:p w14:paraId="772DA0C5" w14:textId="77777777" w:rsidR="00E16316" w:rsidRDefault="007F6EE9">
      <w:pPr>
        <w:pStyle w:val="ListParagraph"/>
        <w:numPr>
          <w:ilvl w:val="1"/>
          <w:numId w:val="1"/>
        </w:numPr>
        <w:tabs>
          <w:tab w:val="left" w:pos="1560"/>
        </w:tabs>
        <w:spacing w:before="223"/>
        <w:ind w:hanging="722"/>
      </w:pPr>
      <w:r>
        <w:t>vote</w:t>
      </w:r>
      <w:r>
        <w:rPr>
          <w:spacing w:val="-7"/>
        </w:rPr>
        <w:t xml:space="preserve"> </w:t>
      </w:r>
      <w:r>
        <w:t>in</w:t>
      </w:r>
      <w:r>
        <w:rPr>
          <w:spacing w:val="-4"/>
        </w:rPr>
        <w:t xml:space="preserve"> </w:t>
      </w:r>
      <w:r>
        <w:t>favour</w:t>
      </w:r>
      <w:r>
        <w:rPr>
          <w:spacing w:val="-4"/>
        </w:rPr>
        <w:t xml:space="preserve"> </w:t>
      </w:r>
      <w:r>
        <w:t>of</w:t>
      </w:r>
      <w:r>
        <w:rPr>
          <w:spacing w:val="-3"/>
        </w:rPr>
        <w:t xml:space="preserve"> </w:t>
      </w:r>
      <w:r>
        <w:t>all</w:t>
      </w:r>
      <w:r>
        <w:rPr>
          <w:spacing w:val="-3"/>
        </w:rPr>
        <w:t xml:space="preserve"> </w:t>
      </w:r>
      <w:r>
        <w:t>or</w:t>
      </w:r>
      <w:r>
        <w:rPr>
          <w:spacing w:val="-4"/>
        </w:rPr>
        <w:t xml:space="preserve"> </w:t>
      </w:r>
      <w:r>
        <w:t>a</w:t>
      </w:r>
      <w:r>
        <w:rPr>
          <w:spacing w:val="-3"/>
        </w:rPr>
        <w:t xml:space="preserve"> </w:t>
      </w:r>
      <w:r>
        <w:t>specific</w:t>
      </w:r>
      <w:r>
        <w:rPr>
          <w:spacing w:val="-6"/>
        </w:rPr>
        <w:t xml:space="preserve"> </w:t>
      </w:r>
      <w:r>
        <w:rPr>
          <w:spacing w:val="-2"/>
        </w:rPr>
        <w:t>resolution(s);</w:t>
      </w:r>
    </w:p>
    <w:p w14:paraId="772DA0C6" w14:textId="77777777" w:rsidR="00E16316" w:rsidRDefault="007F6EE9">
      <w:pPr>
        <w:pStyle w:val="ListParagraph"/>
        <w:numPr>
          <w:ilvl w:val="1"/>
          <w:numId w:val="1"/>
        </w:numPr>
        <w:tabs>
          <w:tab w:val="left" w:pos="1560"/>
        </w:tabs>
        <w:spacing w:before="217"/>
        <w:ind w:hanging="722"/>
      </w:pPr>
      <w:r>
        <w:t>vote</w:t>
      </w:r>
      <w:r>
        <w:rPr>
          <w:spacing w:val="-5"/>
        </w:rPr>
        <w:t xml:space="preserve"> </w:t>
      </w:r>
      <w:r>
        <w:t>against</w:t>
      </w:r>
      <w:r>
        <w:rPr>
          <w:spacing w:val="-5"/>
        </w:rPr>
        <w:t xml:space="preserve"> </w:t>
      </w:r>
      <w:r>
        <w:t>all</w:t>
      </w:r>
      <w:r>
        <w:rPr>
          <w:spacing w:val="-4"/>
        </w:rPr>
        <w:t xml:space="preserve"> </w:t>
      </w:r>
      <w:r>
        <w:t>or</w:t>
      </w:r>
      <w:r>
        <w:rPr>
          <w:spacing w:val="-7"/>
        </w:rPr>
        <w:t xml:space="preserve"> </w:t>
      </w:r>
      <w:r>
        <w:t>a</w:t>
      </w:r>
      <w:r>
        <w:rPr>
          <w:spacing w:val="-7"/>
        </w:rPr>
        <w:t xml:space="preserve"> </w:t>
      </w:r>
      <w:r>
        <w:t>specific</w:t>
      </w:r>
      <w:r>
        <w:rPr>
          <w:spacing w:val="-5"/>
        </w:rPr>
        <w:t xml:space="preserve"> </w:t>
      </w:r>
      <w:r>
        <w:t>resolution(s);</w:t>
      </w:r>
      <w:r>
        <w:rPr>
          <w:spacing w:val="-1"/>
        </w:rPr>
        <w:t xml:space="preserve"> </w:t>
      </w:r>
      <w:r>
        <w:rPr>
          <w:spacing w:val="-5"/>
        </w:rPr>
        <w:t>or</w:t>
      </w:r>
    </w:p>
    <w:p w14:paraId="772DA0C7" w14:textId="77777777" w:rsidR="00E16316" w:rsidRDefault="007F6EE9">
      <w:pPr>
        <w:pStyle w:val="ListParagraph"/>
        <w:numPr>
          <w:ilvl w:val="1"/>
          <w:numId w:val="1"/>
        </w:numPr>
        <w:tabs>
          <w:tab w:val="left" w:pos="1560"/>
        </w:tabs>
        <w:spacing w:before="220"/>
        <w:ind w:hanging="722"/>
      </w:pPr>
      <w:r>
        <w:t>abstain</w:t>
      </w:r>
      <w:r>
        <w:rPr>
          <w:spacing w:val="-11"/>
        </w:rPr>
        <w:t xml:space="preserve"> </w:t>
      </w:r>
      <w:r>
        <w:t>for</w:t>
      </w:r>
      <w:r>
        <w:rPr>
          <w:spacing w:val="-4"/>
        </w:rPr>
        <w:t xml:space="preserve"> </w:t>
      </w:r>
      <w:r>
        <w:t>all</w:t>
      </w:r>
      <w:r>
        <w:rPr>
          <w:spacing w:val="-5"/>
        </w:rPr>
        <w:t xml:space="preserve"> </w:t>
      </w:r>
      <w:r>
        <w:t>or</w:t>
      </w:r>
      <w:r>
        <w:rPr>
          <w:spacing w:val="-7"/>
        </w:rPr>
        <w:t xml:space="preserve"> </w:t>
      </w:r>
      <w:r>
        <w:t>a</w:t>
      </w:r>
      <w:r>
        <w:rPr>
          <w:spacing w:val="-4"/>
        </w:rPr>
        <w:t xml:space="preserve"> </w:t>
      </w:r>
      <w:r>
        <w:t>specific</w:t>
      </w:r>
      <w:r>
        <w:rPr>
          <w:spacing w:val="-8"/>
        </w:rPr>
        <w:t xml:space="preserve"> </w:t>
      </w:r>
      <w:r>
        <w:t>resolution(s);</w:t>
      </w:r>
      <w:r>
        <w:rPr>
          <w:spacing w:val="1"/>
        </w:rPr>
        <w:t xml:space="preserve"> </w:t>
      </w:r>
      <w:r>
        <w:rPr>
          <w:spacing w:val="-5"/>
        </w:rPr>
        <w:t>or</w:t>
      </w:r>
    </w:p>
    <w:p w14:paraId="772DA0C8" w14:textId="77777777" w:rsidR="00E16316" w:rsidRDefault="007F6EE9">
      <w:pPr>
        <w:pStyle w:val="ListParagraph"/>
        <w:numPr>
          <w:ilvl w:val="0"/>
          <w:numId w:val="1"/>
        </w:numPr>
        <w:tabs>
          <w:tab w:val="left" w:pos="840"/>
        </w:tabs>
        <w:spacing w:before="220"/>
        <w:ind w:right="111" w:hanging="720"/>
        <w:jc w:val="both"/>
      </w:pPr>
      <w:r>
        <w:t>a proxy voting instruction to appoint a third party (other than Euroclear Nominees or the chair</w:t>
      </w:r>
      <w:r>
        <w:rPr>
          <w:spacing w:val="-8"/>
        </w:rPr>
        <w:t xml:space="preserve"> </w:t>
      </w:r>
      <w:r>
        <w:t>of</w:t>
      </w:r>
      <w:r>
        <w:rPr>
          <w:spacing w:val="-10"/>
        </w:rPr>
        <w:t xml:space="preserve"> </w:t>
      </w:r>
      <w:r>
        <w:t>the</w:t>
      </w:r>
      <w:r>
        <w:rPr>
          <w:spacing w:val="-8"/>
        </w:rPr>
        <w:t xml:space="preserve"> </w:t>
      </w:r>
      <w:r>
        <w:t>AGM)</w:t>
      </w:r>
      <w:r>
        <w:rPr>
          <w:spacing w:val="-10"/>
        </w:rPr>
        <w:t xml:space="preserve"> </w:t>
      </w:r>
      <w:r>
        <w:t>(who</w:t>
      </w:r>
      <w:r>
        <w:rPr>
          <w:spacing w:val="-9"/>
        </w:rPr>
        <w:t xml:space="preserve"> </w:t>
      </w:r>
      <w:r>
        <w:t>may</w:t>
      </w:r>
      <w:r>
        <w:rPr>
          <w:spacing w:val="-9"/>
        </w:rPr>
        <w:t xml:space="preserve"> </w:t>
      </w:r>
      <w:r>
        <w:t>be</w:t>
      </w:r>
      <w:r>
        <w:rPr>
          <w:spacing w:val="-8"/>
        </w:rPr>
        <w:t xml:space="preserve"> </w:t>
      </w:r>
      <w:r>
        <w:t>a</w:t>
      </w:r>
      <w:r>
        <w:rPr>
          <w:spacing w:val="-8"/>
        </w:rPr>
        <w:t xml:space="preserve"> </w:t>
      </w:r>
      <w:r>
        <w:t>corporate</w:t>
      </w:r>
      <w:r>
        <w:rPr>
          <w:spacing w:val="-10"/>
        </w:rPr>
        <w:t xml:space="preserve"> </w:t>
      </w:r>
      <w:r>
        <w:t>representative</w:t>
      </w:r>
      <w:r>
        <w:rPr>
          <w:spacing w:val="-8"/>
        </w:rPr>
        <w:t xml:space="preserve"> </w:t>
      </w:r>
      <w:r>
        <w:t>or</w:t>
      </w:r>
      <w:r>
        <w:rPr>
          <w:spacing w:val="-10"/>
        </w:rPr>
        <w:t xml:space="preserve"> </w:t>
      </w:r>
      <w:r>
        <w:t>the</w:t>
      </w:r>
      <w:r>
        <w:rPr>
          <w:spacing w:val="-8"/>
        </w:rPr>
        <w:t xml:space="preserve"> </w:t>
      </w:r>
      <w:r>
        <w:t>EB</w:t>
      </w:r>
      <w:r>
        <w:rPr>
          <w:spacing w:val="-9"/>
        </w:rPr>
        <w:t xml:space="preserve"> </w:t>
      </w:r>
      <w:r>
        <w:t>Participant</w:t>
      </w:r>
      <w:r>
        <w:rPr>
          <w:spacing w:val="-8"/>
        </w:rPr>
        <w:t xml:space="preserve"> </w:t>
      </w:r>
      <w:r>
        <w:t>themselves) to attend the AGM, subject to any prevailing restrictions in place (if any), and vote for the number of ordinary shares specified in the proxy voting instruction by providing Euroclear Bank with</w:t>
      </w:r>
      <w:r>
        <w:rPr>
          <w:spacing w:val="-1"/>
        </w:rPr>
        <w:t xml:space="preserve"> </w:t>
      </w:r>
      <w:r>
        <w:t>the proxy</w:t>
      </w:r>
      <w:r>
        <w:rPr>
          <w:spacing w:val="-1"/>
        </w:rPr>
        <w:t xml:space="preserve"> </w:t>
      </w:r>
      <w:r>
        <w:t>details</w:t>
      </w:r>
      <w:r>
        <w:rPr>
          <w:spacing w:val="-1"/>
        </w:rPr>
        <w:t xml:space="preserve"> </w:t>
      </w:r>
      <w:r>
        <w:t>as</w:t>
      </w:r>
      <w:r>
        <w:rPr>
          <w:spacing w:val="-1"/>
        </w:rPr>
        <w:t xml:space="preserve"> </w:t>
      </w:r>
      <w:r>
        <w:t>requested</w:t>
      </w:r>
      <w:r>
        <w:rPr>
          <w:spacing w:val="-1"/>
        </w:rPr>
        <w:t xml:space="preserve"> </w:t>
      </w:r>
      <w:r>
        <w:t>in</w:t>
      </w:r>
      <w:r>
        <w:rPr>
          <w:spacing w:val="-1"/>
        </w:rPr>
        <w:t xml:space="preserve"> </w:t>
      </w:r>
      <w:r>
        <w:t>its notification</w:t>
      </w:r>
      <w:r>
        <w:rPr>
          <w:spacing w:val="-1"/>
        </w:rPr>
        <w:t xml:space="preserve"> </w:t>
      </w:r>
      <w:r>
        <w:t>(e.g.</w:t>
      </w:r>
      <w:r>
        <w:rPr>
          <w:spacing w:val="-1"/>
        </w:rPr>
        <w:t xml:space="preserve"> </w:t>
      </w:r>
      <w:r>
        <w:t>proxy first name,</w:t>
      </w:r>
      <w:r>
        <w:rPr>
          <w:spacing w:val="-1"/>
        </w:rPr>
        <w:t xml:space="preserve"> </w:t>
      </w:r>
      <w:r>
        <w:t>proxy</w:t>
      </w:r>
      <w:r>
        <w:rPr>
          <w:spacing w:val="-1"/>
        </w:rPr>
        <w:t xml:space="preserve"> </w:t>
      </w:r>
      <w:r>
        <w:t>last name, proxy address, nationality code). There is no facility to offer a letter of representation/appoint</w:t>
      </w:r>
      <w:r>
        <w:rPr>
          <w:spacing w:val="-5"/>
        </w:rPr>
        <w:t xml:space="preserve"> </w:t>
      </w:r>
      <w:r>
        <w:t>a</w:t>
      </w:r>
      <w:r>
        <w:rPr>
          <w:spacing w:val="-6"/>
        </w:rPr>
        <w:t xml:space="preserve"> </w:t>
      </w:r>
      <w:r>
        <w:t>corporate</w:t>
      </w:r>
      <w:r>
        <w:rPr>
          <w:spacing w:val="-6"/>
        </w:rPr>
        <w:t xml:space="preserve"> </w:t>
      </w:r>
      <w:r>
        <w:t>representative</w:t>
      </w:r>
      <w:r>
        <w:rPr>
          <w:spacing w:val="-6"/>
        </w:rPr>
        <w:t xml:space="preserve"> </w:t>
      </w:r>
      <w:r>
        <w:t>other</w:t>
      </w:r>
      <w:r>
        <w:rPr>
          <w:spacing w:val="-5"/>
        </w:rPr>
        <w:t xml:space="preserve"> </w:t>
      </w:r>
      <w:r>
        <w:t>than</w:t>
      </w:r>
      <w:r>
        <w:rPr>
          <w:spacing w:val="-6"/>
        </w:rPr>
        <w:t xml:space="preserve"> </w:t>
      </w:r>
      <w:r>
        <w:t>through</w:t>
      </w:r>
      <w:r>
        <w:rPr>
          <w:spacing w:val="-6"/>
        </w:rPr>
        <w:t xml:space="preserve"> </w:t>
      </w:r>
      <w:r>
        <w:t>the</w:t>
      </w:r>
      <w:r>
        <w:rPr>
          <w:spacing w:val="-6"/>
        </w:rPr>
        <w:t xml:space="preserve"> </w:t>
      </w:r>
      <w:r>
        <w:t>submission</w:t>
      </w:r>
      <w:r>
        <w:rPr>
          <w:spacing w:val="-6"/>
        </w:rPr>
        <w:t xml:space="preserve"> </w:t>
      </w:r>
      <w:r>
        <w:t>of</w:t>
      </w:r>
      <w:r>
        <w:rPr>
          <w:spacing w:val="-5"/>
        </w:rPr>
        <w:t xml:space="preserve"> </w:t>
      </w:r>
      <w:r>
        <w:t>third- party proxy appointment instructions.</w:t>
      </w:r>
    </w:p>
    <w:p w14:paraId="772DA0C9" w14:textId="77777777" w:rsidR="00E16316" w:rsidRDefault="007F6EE9">
      <w:pPr>
        <w:pStyle w:val="BodyText"/>
        <w:spacing w:before="220"/>
        <w:ind w:left="120" w:right="109"/>
      </w:pPr>
      <w:r>
        <w:t>EB Participants</w:t>
      </w:r>
      <w:r>
        <w:rPr>
          <w:spacing w:val="-1"/>
        </w:rPr>
        <w:t xml:space="preserve"> </w:t>
      </w:r>
      <w:r>
        <w:t>may</w:t>
      </w:r>
      <w:r>
        <w:rPr>
          <w:spacing w:val="-1"/>
        </w:rPr>
        <w:t xml:space="preserve"> </w:t>
      </w:r>
      <w:r>
        <w:t>cast a</w:t>
      </w:r>
      <w:r>
        <w:rPr>
          <w:spacing w:val="-1"/>
        </w:rPr>
        <w:t xml:space="preserve"> </w:t>
      </w:r>
      <w:r>
        <w:t>split vote</w:t>
      </w:r>
      <w:r>
        <w:rPr>
          <w:spacing w:val="-1"/>
        </w:rPr>
        <w:t xml:space="preserve"> </w:t>
      </w:r>
      <w:r>
        <w:t>for the same</w:t>
      </w:r>
      <w:r>
        <w:rPr>
          <w:spacing w:val="-1"/>
        </w:rPr>
        <w:t xml:space="preserve"> </w:t>
      </w:r>
      <w:r>
        <w:t>resolution. To do</w:t>
      </w:r>
      <w:r>
        <w:rPr>
          <w:spacing w:val="-1"/>
        </w:rPr>
        <w:t xml:space="preserve"> </w:t>
      </w:r>
      <w:r>
        <w:t>so,</w:t>
      </w:r>
      <w:r>
        <w:rPr>
          <w:spacing w:val="-1"/>
        </w:rPr>
        <w:t xml:space="preserve"> </w:t>
      </w:r>
      <w:r>
        <w:t>the EB Participant will need to send a separate instruction for each chosen vote direction (in favour, against or abstain) for the given resolution. EB Participants will also be able to cast split votes across the different resolutions (i.e. vote in favour of some resolutions or against other resolutions).</w:t>
      </w:r>
    </w:p>
    <w:p w14:paraId="772DA0CA" w14:textId="05DFE9DC" w:rsidR="00E16316" w:rsidRDefault="007F6EE9">
      <w:pPr>
        <w:pStyle w:val="BodyText"/>
        <w:spacing w:before="253"/>
        <w:ind w:left="119" w:right="110" w:firstLine="1"/>
      </w:pPr>
      <w:r>
        <w:t>Euroclear Bank will, wherever practical, aim to have a voting instruction deadline of one (1) hour prior to the Company’s proxy appointment deadline, which, in the case of the AGM, would be a deadline of 10.00 a.m. (Irish time) on 2</w:t>
      </w:r>
      <w:r w:rsidR="000F3D9B">
        <w:t>7</w:t>
      </w:r>
      <w:r>
        <w:t xml:space="preserve"> April 202</w:t>
      </w:r>
      <w:r w:rsidR="000F3D9B">
        <w:t>6</w:t>
      </w:r>
      <w:r>
        <w:t>. Voting instructions cannot be changed or cancelled</w:t>
      </w:r>
      <w:r>
        <w:rPr>
          <w:spacing w:val="-14"/>
        </w:rPr>
        <w:t xml:space="preserve"> </w:t>
      </w:r>
      <w:r>
        <w:t>after</w:t>
      </w:r>
      <w:r>
        <w:rPr>
          <w:spacing w:val="-14"/>
        </w:rPr>
        <w:t xml:space="preserve"> </w:t>
      </w:r>
      <w:r>
        <w:t>Euroclear</w:t>
      </w:r>
      <w:r>
        <w:rPr>
          <w:spacing w:val="-14"/>
        </w:rPr>
        <w:t xml:space="preserve"> </w:t>
      </w:r>
      <w:r>
        <w:t>Bank’s</w:t>
      </w:r>
      <w:r>
        <w:rPr>
          <w:spacing w:val="-13"/>
        </w:rPr>
        <w:t xml:space="preserve"> </w:t>
      </w:r>
      <w:r>
        <w:t>voting</w:t>
      </w:r>
      <w:r>
        <w:rPr>
          <w:spacing w:val="-14"/>
        </w:rPr>
        <w:t xml:space="preserve"> </w:t>
      </w:r>
      <w:r>
        <w:t>instruction</w:t>
      </w:r>
      <w:r>
        <w:rPr>
          <w:spacing w:val="-14"/>
        </w:rPr>
        <w:t xml:space="preserve"> </w:t>
      </w:r>
      <w:r>
        <w:t>deadline.</w:t>
      </w:r>
      <w:r>
        <w:rPr>
          <w:spacing w:val="-14"/>
        </w:rPr>
        <w:t xml:space="preserve"> </w:t>
      </w:r>
      <w:r>
        <w:t>EB</w:t>
      </w:r>
      <w:r>
        <w:rPr>
          <w:spacing w:val="-13"/>
        </w:rPr>
        <w:t xml:space="preserve"> </w:t>
      </w:r>
      <w:r>
        <w:t>Participants</w:t>
      </w:r>
      <w:r>
        <w:rPr>
          <w:spacing w:val="-14"/>
        </w:rPr>
        <w:t xml:space="preserve"> </w:t>
      </w:r>
      <w:r>
        <w:t>are</w:t>
      </w:r>
      <w:r>
        <w:rPr>
          <w:spacing w:val="-14"/>
        </w:rPr>
        <w:t xml:space="preserve"> </w:t>
      </w:r>
      <w:r>
        <w:t>strongly</w:t>
      </w:r>
      <w:r>
        <w:rPr>
          <w:spacing w:val="-14"/>
        </w:rPr>
        <w:t xml:space="preserve"> </w:t>
      </w:r>
      <w:r>
        <w:t>encouraged to familiarise themselves with the Euroclear Bank arrangements, including the its voting deadlines and procedures. For voting</w:t>
      </w:r>
      <w:r>
        <w:rPr>
          <w:spacing w:val="-2"/>
        </w:rPr>
        <w:t xml:space="preserve"> </w:t>
      </w:r>
      <w:r>
        <w:t>services offered by custodians holding Irish corporate securities directly with Euroclear Bank, please contact your custodian.</w:t>
      </w:r>
    </w:p>
    <w:p w14:paraId="772DA0CB" w14:textId="77777777" w:rsidR="00E16316" w:rsidRDefault="007F6EE9">
      <w:pPr>
        <w:pStyle w:val="Heading1"/>
        <w:spacing w:before="223"/>
      </w:pPr>
      <w:bookmarkStart w:id="3" w:name="Further_Information_for_the_holders_of_C"/>
      <w:bookmarkEnd w:id="3"/>
      <w:r>
        <w:t>Further</w:t>
      </w:r>
      <w:r>
        <w:rPr>
          <w:spacing w:val="-10"/>
        </w:rPr>
        <w:t xml:space="preserve"> </w:t>
      </w:r>
      <w:r>
        <w:t>Information</w:t>
      </w:r>
      <w:r>
        <w:rPr>
          <w:spacing w:val="-11"/>
        </w:rPr>
        <w:t xml:space="preserve"> </w:t>
      </w:r>
      <w:r>
        <w:t>for</w:t>
      </w:r>
      <w:r>
        <w:rPr>
          <w:spacing w:val="-5"/>
        </w:rPr>
        <w:t xml:space="preserve"> </w:t>
      </w:r>
      <w:r>
        <w:t>the</w:t>
      </w:r>
      <w:r>
        <w:rPr>
          <w:spacing w:val="-5"/>
        </w:rPr>
        <w:t xml:space="preserve"> </w:t>
      </w:r>
      <w:r>
        <w:t>holders</w:t>
      </w:r>
      <w:r>
        <w:rPr>
          <w:spacing w:val="-6"/>
        </w:rPr>
        <w:t xml:space="preserve"> </w:t>
      </w:r>
      <w:r>
        <w:t>of</w:t>
      </w:r>
      <w:r>
        <w:rPr>
          <w:spacing w:val="-7"/>
        </w:rPr>
        <w:t xml:space="preserve"> </w:t>
      </w:r>
      <w:r>
        <w:t>CDIs</w:t>
      </w:r>
      <w:r>
        <w:rPr>
          <w:spacing w:val="-8"/>
        </w:rPr>
        <w:t xml:space="preserve"> </w:t>
      </w:r>
      <w:r>
        <w:t>(“CDI</w:t>
      </w:r>
      <w:r>
        <w:rPr>
          <w:spacing w:val="-9"/>
        </w:rPr>
        <w:t xml:space="preserve"> </w:t>
      </w:r>
      <w:r>
        <w:rPr>
          <w:spacing w:val="-2"/>
        </w:rPr>
        <w:t>Holders”)</w:t>
      </w:r>
    </w:p>
    <w:p w14:paraId="772DA0CC" w14:textId="77777777" w:rsidR="00E16316" w:rsidRDefault="007F6EE9">
      <w:pPr>
        <w:pStyle w:val="BodyText"/>
        <w:spacing w:before="2"/>
        <w:ind w:left="119" w:right="110"/>
      </w:pPr>
      <w:r>
        <w:t>CDI Holders should consult with their stockbroker or other intermediary at the earliest opportunity for further information on the processes and timelines for submitting proxy votes for the AGM through the respective systems.</w:t>
      </w:r>
    </w:p>
    <w:p w14:paraId="772DA0CD" w14:textId="77777777" w:rsidR="00E16316" w:rsidRDefault="00E16316">
      <w:pPr>
        <w:sectPr w:rsidR="00E16316">
          <w:pgSz w:w="11920" w:h="16850"/>
          <w:pgMar w:top="1620" w:right="1440" w:bottom="280" w:left="1420" w:header="720" w:footer="720" w:gutter="0"/>
          <w:cols w:space="720"/>
        </w:sectPr>
      </w:pPr>
    </w:p>
    <w:p w14:paraId="772DA0CE" w14:textId="77777777" w:rsidR="00E16316" w:rsidRDefault="007F6EE9">
      <w:pPr>
        <w:pStyle w:val="BodyText"/>
        <w:spacing w:before="69"/>
        <w:ind w:left="121" w:right="109" w:hanging="2"/>
      </w:pPr>
      <w:r>
        <w:lastRenderedPageBreak/>
        <w:t>Euroclear UK &amp; International Limited (“</w:t>
      </w:r>
      <w:r>
        <w:rPr>
          <w:b/>
        </w:rPr>
        <w:t>EUI</w:t>
      </w:r>
      <w:r>
        <w:t>”), the operator of CREST, has arranged for voting instructions relating to the CDIs held in CREST to be received via a third-party service provider, Broadridge.</w:t>
      </w:r>
      <w:r>
        <w:rPr>
          <w:spacing w:val="-4"/>
        </w:rPr>
        <w:t xml:space="preserve"> </w:t>
      </w:r>
      <w:r>
        <w:t>Further</w:t>
      </w:r>
      <w:r>
        <w:rPr>
          <w:spacing w:val="-5"/>
        </w:rPr>
        <w:t xml:space="preserve"> </w:t>
      </w:r>
      <w:r>
        <w:t>details</w:t>
      </w:r>
      <w:r>
        <w:rPr>
          <w:spacing w:val="-6"/>
        </w:rPr>
        <w:t xml:space="preserve"> </w:t>
      </w:r>
      <w:r>
        <w:t>on</w:t>
      </w:r>
      <w:r>
        <w:rPr>
          <w:spacing w:val="-4"/>
        </w:rPr>
        <w:t xml:space="preserve"> </w:t>
      </w:r>
      <w:r>
        <w:t>this</w:t>
      </w:r>
      <w:r>
        <w:rPr>
          <w:spacing w:val="-6"/>
        </w:rPr>
        <w:t xml:space="preserve"> </w:t>
      </w:r>
      <w:r>
        <w:t>service</w:t>
      </w:r>
      <w:r>
        <w:rPr>
          <w:spacing w:val="-6"/>
        </w:rPr>
        <w:t xml:space="preserve"> </w:t>
      </w:r>
      <w:r>
        <w:t>are</w:t>
      </w:r>
      <w:r>
        <w:rPr>
          <w:spacing w:val="-6"/>
        </w:rPr>
        <w:t xml:space="preserve"> </w:t>
      </w:r>
      <w:r>
        <w:t>set</w:t>
      </w:r>
      <w:r>
        <w:rPr>
          <w:spacing w:val="-3"/>
        </w:rPr>
        <w:t xml:space="preserve"> </w:t>
      </w:r>
      <w:r>
        <w:t>out</w:t>
      </w:r>
      <w:r>
        <w:rPr>
          <w:spacing w:val="-3"/>
        </w:rPr>
        <w:t xml:space="preserve"> </w:t>
      </w:r>
      <w:r>
        <w:t>on</w:t>
      </w:r>
      <w:r>
        <w:rPr>
          <w:spacing w:val="-4"/>
        </w:rPr>
        <w:t xml:space="preserve"> </w:t>
      </w:r>
      <w:r>
        <w:t>the</w:t>
      </w:r>
      <w:r>
        <w:rPr>
          <w:spacing w:val="-6"/>
        </w:rPr>
        <w:t xml:space="preserve"> </w:t>
      </w:r>
      <w:r>
        <w:t>“All</w:t>
      </w:r>
      <w:r>
        <w:rPr>
          <w:spacing w:val="-3"/>
        </w:rPr>
        <w:t xml:space="preserve"> </w:t>
      </w:r>
      <w:r>
        <w:t>you</w:t>
      </w:r>
      <w:r>
        <w:rPr>
          <w:spacing w:val="-4"/>
        </w:rPr>
        <w:t xml:space="preserve"> </w:t>
      </w:r>
      <w:r>
        <w:t>need</w:t>
      </w:r>
      <w:r>
        <w:rPr>
          <w:spacing w:val="-6"/>
        </w:rPr>
        <w:t xml:space="preserve"> </w:t>
      </w:r>
      <w:r>
        <w:t>to</w:t>
      </w:r>
      <w:r>
        <w:rPr>
          <w:spacing w:val="-6"/>
        </w:rPr>
        <w:t xml:space="preserve"> </w:t>
      </w:r>
      <w:r>
        <w:t>know</w:t>
      </w:r>
      <w:r>
        <w:rPr>
          <w:spacing w:val="-5"/>
        </w:rPr>
        <w:t xml:space="preserve"> </w:t>
      </w:r>
      <w:r>
        <w:t>about</w:t>
      </w:r>
      <w:r>
        <w:rPr>
          <w:spacing w:val="-5"/>
        </w:rPr>
        <w:t xml:space="preserve"> </w:t>
      </w:r>
      <w:r>
        <w:t>SRD</w:t>
      </w:r>
      <w:r>
        <w:rPr>
          <w:spacing w:val="-5"/>
        </w:rPr>
        <w:t xml:space="preserve"> </w:t>
      </w:r>
      <w:r>
        <w:t>II”</w:t>
      </w:r>
      <w:r>
        <w:rPr>
          <w:spacing w:val="-3"/>
        </w:rPr>
        <w:t xml:space="preserve"> </w:t>
      </w:r>
      <w:r>
        <w:t>in Euroclear UK &amp; International webpage (see section CREST International Service – Proxy voting).</w:t>
      </w:r>
    </w:p>
    <w:p w14:paraId="772DA0CF" w14:textId="77777777" w:rsidR="00E16316" w:rsidRDefault="00E16316">
      <w:pPr>
        <w:pStyle w:val="BodyText"/>
        <w:ind w:left="0"/>
        <w:jc w:val="left"/>
      </w:pPr>
    </w:p>
    <w:p w14:paraId="772DA0D0" w14:textId="15BC952D" w:rsidR="00E16316" w:rsidRDefault="007F6EE9">
      <w:pPr>
        <w:pStyle w:val="BodyText"/>
        <w:ind w:left="121" w:right="108"/>
      </w:pPr>
      <w:r>
        <w:t>If</w:t>
      </w:r>
      <w:r>
        <w:rPr>
          <w:spacing w:val="-3"/>
        </w:rPr>
        <w:t xml:space="preserve"> </w:t>
      </w:r>
      <w:r>
        <w:t>you</w:t>
      </w:r>
      <w:r>
        <w:rPr>
          <w:spacing w:val="-6"/>
        </w:rPr>
        <w:t xml:space="preserve"> </w:t>
      </w:r>
      <w:r>
        <w:t>are</w:t>
      </w:r>
      <w:r>
        <w:rPr>
          <w:spacing w:val="-6"/>
        </w:rPr>
        <w:t xml:space="preserve"> </w:t>
      </w:r>
      <w:r>
        <w:t>a</w:t>
      </w:r>
      <w:r>
        <w:rPr>
          <w:spacing w:val="-3"/>
        </w:rPr>
        <w:t xml:space="preserve"> </w:t>
      </w:r>
      <w:r>
        <w:t>CDI</w:t>
      </w:r>
      <w:r>
        <w:rPr>
          <w:spacing w:val="-5"/>
        </w:rPr>
        <w:t xml:space="preserve"> </w:t>
      </w:r>
      <w:r>
        <w:t>Holder,</w:t>
      </w:r>
      <w:r>
        <w:rPr>
          <w:spacing w:val="-6"/>
        </w:rPr>
        <w:t xml:space="preserve"> </w:t>
      </w:r>
      <w:r>
        <w:t>you</w:t>
      </w:r>
      <w:r>
        <w:rPr>
          <w:spacing w:val="-4"/>
        </w:rPr>
        <w:t xml:space="preserve"> </w:t>
      </w:r>
      <w:r>
        <w:t>will</w:t>
      </w:r>
      <w:r>
        <w:rPr>
          <w:spacing w:val="-5"/>
        </w:rPr>
        <w:t xml:space="preserve"> </w:t>
      </w:r>
      <w:r>
        <w:t>be</w:t>
      </w:r>
      <w:r>
        <w:rPr>
          <w:spacing w:val="-6"/>
        </w:rPr>
        <w:t xml:space="preserve"> </w:t>
      </w:r>
      <w:r>
        <w:t>required</w:t>
      </w:r>
      <w:r>
        <w:rPr>
          <w:spacing w:val="-6"/>
        </w:rPr>
        <w:t xml:space="preserve"> </w:t>
      </w:r>
      <w:r>
        <w:t>to</w:t>
      </w:r>
      <w:r>
        <w:rPr>
          <w:spacing w:val="-6"/>
        </w:rPr>
        <w:t xml:space="preserve"> </w:t>
      </w:r>
      <w:r>
        <w:t>make</w:t>
      </w:r>
      <w:r>
        <w:rPr>
          <w:spacing w:val="-6"/>
        </w:rPr>
        <w:t xml:space="preserve"> </w:t>
      </w:r>
      <w:r>
        <w:t>use</w:t>
      </w:r>
      <w:r>
        <w:rPr>
          <w:spacing w:val="-6"/>
        </w:rPr>
        <w:t xml:space="preserve"> </w:t>
      </w:r>
      <w:r>
        <w:t>of</w:t>
      </w:r>
      <w:r>
        <w:rPr>
          <w:spacing w:val="-5"/>
        </w:rPr>
        <w:t xml:space="preserve"> </w:t>
      </w:r>
      <w:r>
        <w:t>the</w:t>
      </w:r>
      <w:r>
        <w:rPr>
          <w:spacing w:val="-3"/>
        </w:rPr>
        <w:t xml:space="preserve"> </w:t>
      </w:r>
      <w:r>
        <w:t>EUI</w:t>
      </w:r>
      <w:r>
        <w:rPr>
          <w:spacing w:val="-5"/>
        </w:rPr>
        <w:t xml:space="preserve"> </w:t>
      </w:r>
      <w:r>
        <w:t>proxy</w:t>
      </w:r>
      <w:r>
        <w:rPr>
          <w:spacing w:val="-6"/>
        </w:rPr>
        <w:t xml:space="preserve"> </w:t>
      </w:r>
      <w:r>
        <w:t>voting</w:t>
      </w:r>
      <w:r>
        <w:rPr>
          <w:spacing w:val="-6"/>
        </w:rPr>
        <w:t xml:space="preserve"> </w:t>
      </w:r>
      <w:r>
        <w:t>service</w:t>
      </w:r>
      <w:r>
        <w:rPr>
          <w:spacing w:val="-6"/>
        </w:rPr>
        <w:t xml:space="preserve"> </w:t>
      </w:r>
      <w:r>
        <w:t xml:space="preserve">facilitated by Broadridge Global Proxy Voting service in order to receive meeting announcements and send back voting instructions, as required. If you hold CDIs and wish to participate in the proxy voting service but have not already registered to avail of this service, you will need to complete the AGM and Voting Client Setup Form (CRT408). Completed application forms should be returned to EUI by an authorised signatory with another relevant authorised signatory copied in for verification purposes using the following email address: </w:t>
      </w:r>
      <w:hyperlink r:id="rId9" w:history="1">
        <w:r w:rsidR="001649B7" w:rsidRPr="00153150">
          <w:rPr>
            <w:rStyle w:val="Hyperlink"/>
          </w:rPr>
          <w:t>uk-membership@euroclear.com.</w:t>
        </w:r>
      </w:hyperlink>
    </w:p>
    <w:p w14:paraId="772DA0D1" w14:textId="77777777" w:rsidR="00E16316" w:rsidRDefault="00E16316">
      <w:pPr>
        <w:pStyle w:val="BodyText"/>
        <w:spacing w:before="1"/>
        <w:ind w:left="0"/>
        <w:jc w:val="left"/>
      </w:pPr>
    </w:p>
    <w:p w14:paraId="772DA0D2" w14:textId="38DD843A" w:rsidR="00E16316" w:rsidRDefault="007F6EE9">
      <w:pPr>
        <w:pStyle w:val="BodyText"/>
        <w:ind w:left="122" w:right="106"/>
      </w:pPr>
      <w:r>
        <w:t>Fully completed and returned applications forms will be shared with Broadridge by EUI. This will enable Broadridge to contact you and share further detailed information on the service offering and initiate the process for granting your access to the Broadridge platform. Once CDI Holders have access to the Broadridge platform, they can complete and submit proxy appointments (including voting instructions) electronically. Broadridge will process and deliver proxy voting instructions received from CDI Holders by the Broadridge voting deadline date to Euroclear Bank, by their cut- off and to agreed market requirements. Alternatively, a CDI Holder can send a third-party proxy voting instruction through the Broadridge platform in order to appoint a third-party (who may be a corporate</w:t>
      </w:r>
      <w:r>
        <w:rPr>
          <w:spacing w:val="-14"/>
        </w:rPr>
        <w:t xml:space="preserve"> </w:t>
      </w:r>
      <w:r>
        <w:t>representative</w:t>
      </w:r>
      <w:r>
        <w:rPr>
          <w:spacing w:val="-13"/>
        </w:rPr>
        <w:t xml:space="preserve"> </w:t>
      </w:r>
      <w:r>
        <w:t>or</w:t>
      </w:r>
      <w:r>
        <w:rPr>
          <w:spacing w:val="-12"/>
        </w:rPr>
        <w:t xml:space="preserve"> </w:t>
      </w:r>
      <w:r>
        <w:t>the</w:t>
      </w:r>
      <w:r>
        <w:rPr>
          <w:spacing w:val="-10"/>
        </w:rPr>
        <w:t xml:space="preserve"> </w:t>
      </w:r>
      <w:r>
        <w:t>CDI</w:t>
      </w:r>
      <w:r>
        <w:rPr>
          <w:spacing w:val="-12"/>
        </w:rPr>
        <w:t xml:space="preserve"> </w:t>
      </w:r>
      <w:r>
        <w:t>Holder</w:t>
      </w:r>
      <w:r>
        <w:rPr>
          <w:spacing w:val="-12"/>
        </w:rPr>
        <w:t xml:space="preserve"> </w:t>
      </w:r>
      <w:r>
        <w:t>themselves)</w:t>
      </w:r>
      <w:r>
        <w:rPr>
          <w:spacing w:val="-14"/>
        </w:rPr>
        <w:t xml:space="preserve"> </w:t>
      </w:r>
      <w:r>
        <w:t>to</w:t>
      </w:r>
      <w:r>
        <w:rPr>
          <w:spacing w:val="-11"/>
        </w:rPr>
        <w:t xml:space="preserve"> </w:t>
      </w:r>
      <w:r>
        <w:t>attend</w:t>
      </w:r>
      <w:r>
        <w:rPr>
          <w:spacing w:val="-13"/>
        </w:rPr>
        <w:t xml:space="preserve"> </w:t>
      </w:r>
      <w:r>
        <w:t>and</w:t>
      </w:r>
      <w:r>
        <w:rPr>
          <w:spacing w:val="-13"/>
        </w:rPr>
        <w:t xml:space="preserve"> </w:t>
      </w:r>
      <w:r>
        <w:t>vote</w:t>
      </w:r>
      <w:r>
        <w:rPr>
          <w:spacing w:val="-10"/>
        </w:rPr>
        <w:t xml:space="preserve"> </w:t>
      </w:r>
      <w:r>
        <w:t>at</w:t>
      </w:r>
      <w:r>
        <w:rPr>
          <w:spacing w:val="-12"/>
        </w:rPr>
        <w:t xml:space="preserve"> </w:t>
      </w:r>
      <w:r>
        <w:t>the</w:t>
      </w:r>
      <w:r>
        <w:rPr>
          <w:spacing w:val="-14"/>
        </w:rPr>
        <w:t xml:space="preserve"> </w:t>
      </w:r>
      <w:r>
        <w:t>AGM</w:t>
      </w:r>
      <w:r>
        <w:rPr>
          <w:spacing w:val="-10"/>
        </w:rPr>
        <w:t xml:space="preserve"> </w:t>
      </w:r>
      <w:r>
        <w:t>for</w:t>
      </w:r>
      <w:r>
        <w:rPr>
          <w:spacing w:val="-12"/>
        </w:rPr>
        <w:t xml:space="preserve"> </w:t>
      </w:r>
      <w:r>
        <w:t>the</w:t>
      </w:r>
      <w:r>
        <w:rPr>
          <w:spacing w:val="-13"/>
        </w:rPr>
        <w:t xml:space="preserve"> </w:t>
      </w:r>
      <w:r>
        <w:t>number of ordinary shares specified in the proxy instruction (subject to the Broadridge voting deadline). There is no facility to offer a letter of representation/appoint a corporate representative other than through the submission of third-party proxy appointment instructions through Broadridge. Broadridge’s</w:t>
      </w:r>
      <w:r>
        <w:rPr>
          <w:spacing w:val="-4"/>
        </w:rPr>
        <w:t xml:space="preserve"> </w:t>
      </w:r>
      <w:r>
        <w:t>voting</w:t>
      </w:r>
      <w:r>
        <w:rPr>
          <w:spacing w:val="-2"/>
        </w:rPr>
        <w:t xml:space="preserve"> </w:t>
      </w:r>
      <w:r>
        <w:t>deadline</w:t>
      </w:r>
      <w:r>
        <w:rPr>
          <w:spacing w:val="-2"/>
        </w:rPr>
        <w:t xml:space="preserve"> </w:t>
      </w:r>
      <w:r>
        <w:t>will</w:t>
      </w:r>
      <w:r>
        <w:rPr>
          <w:spacing w:val="-1"/>
        </w:rPr>
        <w:t xml:space="preserve"> </w:t>
      </w:r>
      <w:r>
        <w:t>be</w:t>
      </w:r>
      <w:r>
        <w:rPr>
          <w:spacing w:val="-2"/>
        </w:rPr>
        <w:t xml:space="preserve"> </w:t>
      </w:r>
      <w:r>
        <w:t>earlier</w:t>
      </w:r>
      <w:r>
        <w:rPr>
          <w:spacing w:val="-1"/>
        </w:rPr>
        <w:t xml:space="preserve"> </w:t>
      </w:r>
      <w:r>
        <w:t>than</w:t>
      </w:r>
      <w:r>
        <w:rPr>
          <w:spacing w:val="-2"/>
        </w:rPr>
        <w:t xml:space="preserve"> </w:t>
      </w:r>
      <w:r>
        <w:t>Euroclear</w:t>
      </w:r>
      <w:r>
        <w:rPr>
          <w:spacing w:val="-1"/>
        </w:rPr>
        <w:t xml:space="preserve"> </w:t>
      </w:r>
      <w:r>
        <w:t>Bank’s</w:t>
      </w:r>
      <w:r>
        <w:rPr>
          <w:spacing w:val="-4"/>
        </w:rPr>
        <w:t xml:space="preserve"> </w:t>
      </w:r>
      <w:r>
        <w:t>voting</w:t>
      </w:r>
      <w:r>
        <w:rPr>
          <w:spacing w:val="-5"/>
        </w:rPr>
        <w:t xml:space="preserve"> </w:t>
      </w:r>
      <w:r>
        <w:t>instruction</w:t>
      </w:r>
      <w:r>
        <w:rPr>
          <w:spacing w:val="-2"/>
        </w:rPr>
        <w:t xml:space="preserve"> </w:t>
      </w:r>
      <w:r>
        <w:t>deadline</w:t>
      </w:r>
      <w:r>
        <w:rPr>
          <w:spacing w:val="-5"/>
        </w:rPr>
        <w:t xml:space="preserve"> </w:t>
      </w:r>
      <w:r>
        <w:t>as</w:t>
      </w:r>
      <w:r>
        <w:rPr>
          <w:spacing w:val="-4"/>
        </w:rPr>
        <w:t xml:space="preserve"> </w:t>
      </w:r>
      <w:r>
        <w:t xml:space="preserve">set out above and is expected to be </w:t>
      </w:r>
      <w:r w:rsidR="000342D3">
        <w:t xml:space="preserve">1:59 </w:t>
      </w:r>
      <w:r w:rsidR="00CF6429">
        <w:t xml:space="preserve">p.m. </w:t>
      </w:r>
      <w:r w:rsidR="000342D3">
        <w:t>EST</w:t>
      </w:r>
      <w:r>
        <w:t xml:space="preserve"> on 2</w:t>
      </w:r>
      <w:r w:rsidR="000F3D9B">
        <w:t>3</w:t>
      </w:r>
      <w:r>
        <w:t xml:space="preserve"> April 202</w:t>
      </w:r>
      <w:r w:rsidR="000F3D9B">
        <w:t>6</w:t>
      </w:r>
      <w:r>
        <w:t>.</w:t>
      </w:r>
    </w:p>
    <w:p w14:paraId="772DA0D3" w14:textId="77777777" w:rsidR="00E16316" w:rsidRDefault="007F6EE9">
      <w:pPr>
        <w:pStyle w:val="BodyText"/>
        <w:spacing w:before="252"/>
        <w:ind w:left="124" w:right="106" w:hanging="2"/>
      </w:pPr>
      <w:r>
        <w:t>CDI Holders should pay close attention to any notices specifically relating to this AGM and are strongly</w:t>
      </w:r>
      <w:r>
        <w:rPr>
          <w:spacing w:val="-2"/>
        </w:rPr>
        <w:t xml:space="preserve"> </w:t>
      </w:r>
      <w:r>
        <w:t>encouraged</w:t>
      </w:r>
      <w:r>
        <w:rPr>
          <w:spacing w:val="-5"/>
        </w:rPr>
        <w:t xml:space="preserve"> </w:t>
      </w:r>
      <w:r>
        <w:t>to</w:t>
      </w:r>
      <w:r>
        <w:rPr>
          <w:spacing w:val="-5"/>
        </w:rPr>
        <w:t xml:space="preserve"> </w:t>
      </w:r>
      <w:r>
        <w:t>familiarise</w:t>
      </w:r>
      <w:r>
        <w:rPr>
          <w:spacing w:val="-2"/>
        </w:rPr>
        <w:t xml:space="preserve"> </w:t>
      </w:r>
      <w:r>
        <w:t>themselves</w:t>
      </w:r>
      <w:r>
        <w:rPr>
          <w:spacing w:val="-2"/>
        </w:rPr>
        <w:t xml:space="preserve"> </w:t>
      </w:r>
      <w:r>
        <w:t>with</w:t>
      </w:r>
      <w:r>
        <w:rPr>
          <w:spacing w:val="-5"/>
        </w:rPr>
        <w:t xml:space="preserve"> </w:t>
      </w:r>
      <w:r>
        <w:t>Broadridge’s</w:t>
      </w:r>
      <w:r>
        <w:rPr>
          <w:spacing w:val="-4"/>
        </w:rPr>
        <w:t xml:space="preserve"> </w:t>
      </w:r>
      <w:r>
        <w:t>arrangements,</w:t>
      </w:r>
      <w:r>
        <w:rPr>
          <w:spacing w:val="-2"/>
        </w:rPr>
        <w:t xml:space="preserve"> </w:t>
      </w:r>
      <w:r>
        <w:t>including</w:t>
      </w:r>
      <w:r>
        <w:rPr>
          <w:spacing w:val="-5"/>
        </w:rPr>
        <w:t xml:space="preserve"> </w:t>
      </w:r>
      <w:r>
        <w:t>the</w:t>
      </w:r>
      <w:r>
        <w:rPr>
          <w:spacing w:val="-2"/>
        </w:rPr>
        <w:t xml:space="preserve"> </w:t>
      </w:r>
      <w:r>
        <w:t>voting deadlines</w:t>
      </w:r>
      <w:r>
        <w:rPr>
          <w:spacing w:val="-10"/>
        </w:rPr>
        <w:t xml:space="preserve"> </w:t>
      </w:r>
      <w:r>
        <w:t>and</w:t>
      </w:r>
      <w:r>
        <w:rPr>
          <w:spacing w:val="-11"/>
        </w:rPr>
        <w:t xml:space="preserve"> </w:t>
      </w:r>
      <w:r>
        <w:t>procedures</w:t>
      </w:r>
      <w:r>
        <w:rPr>
          <w:spacing w:val="-10"/>
        </w:rPr>
        <w:t xml:space="preserve"> </w:t>
      </w:r>
      <w:r>
        <w:t>and</w:t>
      </w:r>
      <w:r>
        <w:rPr>
          <w:spacing w:val="-11"/>
        </w:rPr>
        <w:t xml:space="preserve"> </w:t>
      </w:r>
      <w:r>
        <w:t>to</w:t>
      </w:r>
      <w:r>
        <w:rPr>
          <w:spacing w:val="-11"/>
        </w:rPr>
        <w:t xml:space="preserve"> </w:t>
      </w:r>
      <w:r>
        <w:t>take</w:t>
      </w:r>
      <w:r>
        <w:rPr>
          <w:spacing w:val="-10"/>
        </w:rPr>
        <w:t xml:space="preserve"> </w:t>
      </w:r>
      <w:r>
        <w:t>any</w:t>
      </w:r>
      <w:r>
        <w:rPr>
          <w:spacing w:val="-13"/>
        </w:rPr>
        <w:t xml:space="preserve"> </w:t>
      </w:r>
      <w:r>
        <w:t>further</w:t>
      </w:r>
      <w:r>
        <w:rPr>
          <w:spacing w:val="-10"/>
        </w:rPr>
        <w:t xml:space="preserve"> </w:t>
      </w:r>
      <w:r>
        <w:t>actions</w:t>
      </w:r>
      <w:r>
        <w:rPr>
          <w:spacing w:val="-11"/>
        </w:rPr>
        <w:t xml:space="preserve"> </w:t>
      </w:r>
      <w:r>
        <w:t>required</w:t>
      </w:r>
      <w:r>
        <w:rPr>
          <w:spacing w:val="-11"/>
        </w:rPr>
        <w:t xml:space="preserve"> </w:t>
      </w:r>
      <w:r>
        <w:t>by</w:t>
      </w:r>
      <w:r>
        <w:rPr>
          <w:spacing w:val="-11"/>
        </w:rPr>
        <w:t xml:space="preserve"> </w:t>
      </w:r>
      <w:r>
        <w:t>Broadridge</w:t>
      </w:r>
      <w:r>
        <w:rPr>
          <w:spacing w:val="-10"/>
        </w:rPr>
        <w:t xml:space="preserve"> </w:t>
      </w:r>
      <w:r>
        <w:t>before</w:t>
      </w:r>
      <w:r>
        <w:rPr>
          <w:spacing w:val="-13"/>
        </w:rPr>
        <w:t xml:space="preserve"> </w:t>
      </w:r>
      <w:r>
        <w:t>they</w:t>
      </w:r>
      <w:r>
        <w:rPr>
          <w:spacing w:val="-13"/>
        </w:rPr>
        <w:t xml:space="preserve"> </w:t>
      </w:r>
      <w:r>
        <w:t>can</w:t>
      </w:r>
      <w:r>
        <w:rPr>
          <w:spacing w:val="-11"/>
        </w:rPr>
        <w:t xml:space="preserve"> </w:t>
      </w:r>
      <w:r>
        <w:t>avail of the Broadridge Global Proxy Voting Service as soon as possible. Broadridge will use best endeavours to accept late votes, changes and cancellations from a CDI Holder after the voting deadline but there is no guarantee that these will be processed within the requisite timeframes.</w:t>
      </w:r>
    </w:p>
    <w:p w14:paraId="772DA0D4" w14:textId="77777777" w:rsidR="00E16316" w:rsidRDefault="00E16316">
      <w:pPr>
        <w:pStyle w:val="BodyText"/>
        <w:ind w:left="0"/>
        <w:jc w:val="left"/>
      </w:pPr>
    </w:p>
    <w:p w14:paraId="772DA0D5" w14:textId="03E9DFD3" w:rsidR="00E16316" w:rsidRDefault="007F6EE9">
      <w:pPr>
        <w:pStyle w:val="BodyText"/>
        <w:ind w:left="121" w:right="105" w:firstLine="3"/>
      </w:pPr>
      <w:r>
        <w:t>Shareholders may also submit questions in writing by sending a letter, and evidence of their shareholding to be received at least four business days before the AGM (i.e. 2</w:t>
      </w:r>
      <w:r w:rsidR="000F3D9B">
        <w:t>3</w:t>
      </w:r>
      <w:r>
        <w:t xml:space="preserve"> April 202</w:t>
      </w:r>
      <w:r w:rsidR="000F3D9B">
        <w:t>6</w:t>
      </w:r>
      <w:r>
        <w:t>) to the Group Secretary and Head</w:t>
      </w:r>
      <w:r>
        <w:rPr>
          <w:spacing w:val="-1"/>
        </w:rPr>
        <w:t xml:space="preserve"> </w:t>
      </w:r>
      <w:r>
        <w:t xml:space="preserve">of Investor Relations, Glanbia plc, </w:t>
      </w:r>
      <w:r w:rsidR="00CF6429" w:rsidRPr="00CF6429">
        <w:t>Leggetsrath Business Park, Carlow Road, Kilkenny, R95 YTD5</w:t>
      </w:r>
      <w:r>
        <w:t>, Ireland</w:t>
      </w:r>
      <w:r>
        <w:rPr>
          <w:spacing w:val="-14"/>
        </w:rPr>
        <w:t xml:space="preserve"> </w:t>
      </w:r>
      <w:r>
        <w:t>or</w:t>
      </w:r>
      <w:r>
        <w:rPr>
          <w:spacing w:val="-12"/>
        </w:rPr>
        <w:t xml:space="preserve"> </w:t>
      </w:r>
      <w:r>
        <w:t>by</w:t>
      </w:r>
      <w:r>
        <w:rPr>
          <w:spacing w:val="-11"/>
        </w:rPr>
        <w:t xml:space="preserve"> </w:t>
      </w:r>
      <w:r>
        <w:t>email</w:t>
      </w:r>
      <w:r>
        <w:rPr>
          <w:spacing w:val="-12"/>
        </w:rPr>
        <w:t xml:space="preserve"> </w:t>
      </w:r>
      <w:r>
        <w:t>to</w:t>
      </w:r>
      <w:r>
        <w:rPr>
          <w:spacing w:val="-14"/>
        </w:rPr>
        <w:t xml:space="preserve"> </w:t>
      </w:r>
      <w:hyperlink r:id="rId10" w:history="1">
        <w:r w:rsidR="000342D3" w:rsidRPr="009F48C9">
          <w:rPr>
            <w:rStyle w:val="Hyperlink"/>
          </w:rPr>
          <w:t>GroupSecretary@glanbia.com.</w:t>
        </w:r>
      </w:hyperlink>
      <w:r>
        <w:rPr>
          <w:spacing w:val="-11"/>
        </w:rPr>
        <w:t xml:space="preserve"> </w:t>
      </w:r>
      <w:r>
        <w:t>Any</w:t>
      </w:r>
      <w:r>
        <w:rPr>
          <w:spacing w:val="-11"/>
        </w:rPr>
        <w:t xml:space="preserve"> </w:t>
      </w:r>
      <w:r>
        <w:t>shareholder</w:t>
      </w:r>
      <w:r>
        <w:rPr>
          <w:spacing w:val="-11"/>
        </w:rPr>
        <w:t xml:space="preserve"> </w:t>
      </w:r>
      <w:r>
        <w:t>questions</w:t>
      </w:r>
      <w:r>
        <w:rPr>
          <w:spacing w:val="-11"/>
        </w:rPr>
        <w:t xml:space="preserve"> </w:t>
      </w:r>
      <w:r>
        <w:t>received</w:t>
      </w:r>
      <w:r>
        <w:rPr>
          <w:spacing w:val="-13"/>
        </w:rPr>
        <w:t xml:space="preserve"> </w:t>
      </w:r>
      <w:r>
        <w:t>by</w:t>
      </w:r>
      <w:r>
        <w:rPr>
          <w:spacing w:val="-11"/>
        </w:rPr>
        <w:t xml:space="preserve"> </w:t>
      </w:r>
      <w:r>
        <w:t>11.00</w:t>
      </w:r>
      <w:r>
        <w:rPr>
          <w:spacing w:val="-11"/>
        </w:rPr>
        <w:t xml:space="preserve"> </w:t>
      </w:r>
      <w:r>
        <w:t>a.m. (Irish</w:t>
      </w:r>
      <w:r>
        <w:rPr>
          <w:spacing w:val="-6"/>
        </w:rPr>
        <w:t xml:space="preserve"> </w:t>
      </w:r>
      <w:r>
        <w:t>time)</w:t>
      </w:r>
      <w:r>
        <w:rPr>
          <w:spacing w:val="-3"/>
        </w:rPr>
        <w:t xml:space="preserve"> </w:t>
      </w:r>
      <w:r>
        <w:t>on</w:t>
      </w:r>
      <w:r>
        <w:rPr>
          <w:spacing w:val="-6"/>
        </w:rPr>
        <w:t xml:space="preserve"> </w:t>
      </w:r>
      <w:r>
        <w:t>2</w:t>
      </w:r>
      <w:r w:rsidR="000F3D9B">
        <w:t>3</w:t>
      </w:r>
      <w:r>
        <w:rPr>
          <w:spacing w:val="-4"/>
        </w:rPr>
        <w:t xml:space="preserve"> </w:t>
      </w:r>
      <w:r>
        <w:t>April</w:t>
      </w:r>
      <w:r>
        <w:rPr>
          <w:spacing w:val="-3"/>
        </w:rPr>
        <w:t xml:space="preserve"> </w:t>
      </w:r>
      <w:r>
        <w:t>202</w:t>
      </w:r>
      <w:r w:rsidR="000F3D9B">
        <w:t>6</w:t>
      </w:r>
      <w:r>
        <w:t>,</w:t>
      </w:r>
      <w:r>
        <w:rPr>
          <w:spacing w:val="-4"/>
        </w:rPr>
        <w:t xml:space="preserve"> </w:t>
      </w:r>
      <w:r>
        <w:t>relating</w:t>
      </w:r>
      <w:r>
        <w:rPr>
          <w:spacing w:val="-6"/>
        </w:rPr>
        <w:t xml:space="preserve"> </w:t>
      </w:r>
      <w:r>
        <w:t>to</w:t>
      </w:r>
      <w:r>
        <w:rPr>
          <w:spacing w:val="-6"/>
        </w:rPr>
        <w:t xml:space="preserve"> </w:t>
      </w:r>
      <w:r>
        <w:t>the</w:t>
      </w:r>
      <w:r>
        <w:rPr>
          <w:spacing w:val="-3"/>
        </w:rPr>
        <w:t xml:space="preserve"> </w:t>
      </w:r>
      <w:r>
        <w:t>business</w:t>
      </w:r>
      <w:r>
        <w:rPr>
          <w:spacing w:val="-3"/>
        </w:rPr>
        <w:t xml:space="preserve"> </w:t>
      </w:r>
      <w:r>
        <w:t>of</w:t>
      </w:r>
      <w:r>
        <w:rPr>
          <w:spacing w:val="-3"/>
        </w:rPr>
        <w:t xml:space="preserve"> </w:t>
      </w:r>
      <w:r>
        <w:t>the</w:t>
      </w:r>
      <w:r>
        <w:rPr>
          <w:spacing w:val="-6"/>
        </w:rPr>
        <w:t xml:space="preserve"> </w:t>
      </w:r>
      <w:r>
        <w:t>meeting,</w:t>
      </w:r>
      <w:r>
        <w:rPr>
          <w:spacing w:val="-4"/>
        </w:rPr>
        <w:t xml:space="preserve"> </w:t>
      </w:r>
      <w:r>
        <w:t>will</w:t>
      </w:r>
      <w:r>
        <w:rPr>
          <w:spacing w:val="-3"/>
        </w:rPr>
        <w:t xml:space="preserve"> </w:t>
      </w:r>
      <w:r>
        <w:t>be</w:t>
      </w:r>
      <w:r>
        <w:rPr>
          <w:spacing w:val="-6"/>
        </w:rPr>
        <w:t xml:space="preserve"> </w:t>
      </w:r>
      <w:r>
        <w:t>summarised</w:t>
      </w:r>
      <w:r>
        <w:rPr>
          <w:spacing w:val="-4"/>
        </w:rPr>
        <w:t xml:space="preserve"> </w:t>
      </w:r>
      <w:r>
        <w:t>and</w:t>
      </w:r>
      <w:r>
        <w:rPr>
          <w:spacing w:val="-6"/>
        </w:rPr>
        <w:t xml:space="preserve"> </w:t>
      </w:r>
      <w:r>
        <w:t>placed with their answers on the Company’s website.</w:t>
      </w:r>
    </w:p>
    <w:p w14:paraId="772DA0D6" w14:textId="77777777" w:rsidR="00E16316" w:rsidRDefault="00E16316">
      <w:pPr>
        <w:pStyle w:val="BodyText"/>
        <w:spacing w:before="2"/>
        <w:ind w:left="0"/>
        <w:jc w:val="left"/>
      </w:pPr>
    </w:p>
    <w:p w14:paraId="772DA0D7" w14:textId="00AB25FA" w:rsidR="00E16316" w:rsidRDefault="000342D3">
      <w:pPr>
        <w:ind w:left="121"/>
        <w:jc w:val="both"/>
        <w:rPr>
          <w:b/>
        </w:rPr>
      </w:pPr>
      <w:r>
        <w:rPr>
          <w:b/>
        </w:rPr>
        <w:t>2</w:t>
      </w:r>
      <w:r w:rsidR="000F3D9B">
        <w:rPr>
          <w:b/>
        </w:rPr>
        <w:t>5</w:t>
      </w:r>
      <w:r>
        <w:rPr>
          <w:b/>
        </w:rPr>
        <w:t xml:space="preserve"> March 202</w:t>
      </w:r>
      <w:r w:rsidR="000F3D9B">
        <w:rPr>
          <w:b/>
        </w:rPr>
        <w:t>6</w:t>
      </w:r>
    </w:p>
    <w:sectPr w:rsidR="00E16316">
      <w:pgSz w:w="11920" w:h="16850"/>
      <w:pgMar w:top="1620" w:right="144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6A11" w14:textId="77777777" w:rsidR="000342D3" w:rsidRDefault="000342D3" w:rsidP="000342D3">
      <w:r>
        <w:separator/>
      </w:r>
    </w:p>
  </w:endnote>
  <w:endnote w:type="continuationSeparator" w:id="0">
    <w:p w14:paraId="4ED9A8EA" w14:textId="77777777" w:rsidR="000342D3" w:rsidRDefault="000342D3" w:rsidP="0003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7AE0" w14:textId="77777777" w:rsidR="000342D3" w:rsidRDefault="000342D3" w:rsidP="000342D3">
      <w:r>
        <w:separator/>
      </w:r>
    </w:p>
  </w:footnote>
  <w:footnote w:type="continuationSeparator" w:id="0">
    <w:p w14:paraId="1927E817" w14:textId="77777777" w:rsidR="000342D3" w:rsidRDefault="000342D3" w:rsidP="0003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965F5"/>
    <w:multiLevelType w:val="multilevel"/>
    <w:tmpl w:val="3D44A3D8"/>
    <w:lvl w:ilvl="0">
      <w:start w:val="1"/>
      <w:numFmt w:val="decimal"/>
      <w:lvlText w:val="%1."/>
      <w:lvlJc w:val="left"/>
      <w:pPr>
        <w:ind w:left="84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560" w:hanging="72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392" w:hanging="723"/>
      </w:pPr>
      <w:rPr>
        <w:rFonts w:hint="default"/>
        <w:lang w:val="en-US" w:eastAsia="en-US" w:bidi="ar-SA"/>
      </w:rPr>
    </w:lvl>
    <w:lvl w:ilvl="3">
      <w:numFmt w:val="bullet"/>
      <w:lvlText w:val="•"/>
      <w:lvlJc w:val="left"/>
      <w:pPr>
        <w:ind w:left="3224" w:hanging="723"/>
      </w:pPr>
      <w:rPr>
        <w:rFonts w:hint="default"/>
        <w:lang w:val="en-US" w:eastAsia="en-US" w:bidi="ar-SA"/>
      </w:rPr>
    </w:lvl>
    <w:lvl w:ilvl="4">
      <w:numFmt w:val="bullet"/>
      <w:lvlText w:val="•"/>
      <w:lvlJc w:val="left"/>
      <w:pPr>
        <w:ind w:left="4057" w:hanging="723"/>
      </w:pPr>
      <w:rPr>
        <w:rFonts w:hint="default"/>
        <w:lang w:val="en-US" w:eastAsia="en-US" w:bidi="ar-SA"/>
      </w:rPr>
    </w:lvl>
    <w:lvl w:ilvl="5">
      <w:numFmt w:val="bullet"/>
      <w:lvlText w:val="•"/>
      <w:lvlJc w:val="left"/>
      <w:pPr>
        <w:ind w:left="4889" w:hanging="723"/>
      </w:pPr>
      <w:rPr>
        <w:rFonts w:hint="default"/>
        <w:lang w:val="en-US" w:eastAsia="en-US" w:bidi="ar-SA"/>
      </w:rPr>
    </w:lvl>
    <w:lvl w:ilvl="6">
      <w:numFmt w:val="bullet"/>
      <w:lvlText w:val="•"/>
      <w:lvlJc w:val="left"/>
      <w:pPr>
        <w:ind w:left="5721" w:hanging="723"/>
      </w:pPr>
      <w:rPr>
        <w:rFonts w:hint="default"/>
        <w:lang w:val="en-US" w:eastAsia="en-US" w:bidi="ar-SA"/>
      </w:rPr>
    </w:lvl>
    <w:lvl w:ilvl="7">
      <w:numFmt w:val="bullet"/>
      <w:lvlText w:val="•"/>
      <w:lvlJc w:val="left"/>
      <w:pPr>
        <w:ind w:left="6554" w:hanging="723"/>
      </w:pPr>
      <w:rPr>
        <w:rFonts w:hint="default"/>
        <w:lang w:val="en-US" w:eastAsia="en-US" w:bidi="ar-SA"/>
      </w:rPr>
    </w:lvl>
    <w:lvl w:ilvl="8">
      <w:numFmt w:val="bullet"/>
      <w:lvlText w:val="•"/>
      <w:lvlJc w:val="left"/>
      <w:pPr>
        <w:ind w:left="7386" w:hanging="723"/>
      </w:pPr>
      <w:rPr>
        <w:rFonts w:hint="default"/>
        <w:lang w:val="en-US" w:eastAsia="en-US" w:bidi="ar-SA"/>
      </w:rPr>
    </w:lvl>
  </w:abstractNum>
  <w:abstractNum w:abstractNumId="1" w15:restartNumberingAfterBreak="0">
    <w:nsid w:val="5C1E358F"/>
    <w:multiLevelType w:val="multilevel"/>
    <w:tmpl w:val="27B47648"/>
    <w:lvl w:ilvl="0">
      <w:start w:val="1"/>
      <w:numFmt w:val="decimal"/>
      <w:lvlText w:val="%1."/>
      <w:lvlJc w:val="left"/>
      <w:pPr>
        <w:ind w:left="84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56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392" w:hanging="721"/>
      </w:pPr>
      <w:rPr>
        <w:rFonts w:hint="default"/>
        <w:lang w:val="en-US" w:eastAsia="en-US" w:bidi="ar-SA"/>
      </w:rPr>
    </w:lvl>
    <w:lvl w:ilvl="3">
      <w:numFmt w:val="bullet"/>
      <w:lvlText w:val="•"/>
      <w:lvlJc w:val="left"/>
      <w:pPr>
        <w:ind w:left="3224" w:hanging="721"/>
      </w:pPr>
      <w:rPr>
        <w:rFonts w:hint="default"/>
        <w:lang w:val="en-US" w:eastAsia="en-US" w:bidi="ar-SA"/>
      </w:rPr>
    </w:lvl>
    <w:lvl w:ilvl="4">
      <w:numFmt w:val="bullet"/>
      <w:lvlText w:val="•"/>
      <w:lvlJc w:val="left"/>
      <w:pPr>
        <w:ind w:left="4057" w:hanging="721"/>
      </w:pPr>
      <w:rPr>
        <w:rFonts w:hint="default"/>
        <w:lang w:val="en-US" w:eastAsia="en-US" w:bidi="ar-SA"/>
      </w:rPr>
    </w:lvl>
    <w:lvl w:ilvl="5">
      <w:numFmt w:val="bullet"/>
      <w:lvlText w:val="•"/>
      <w:lvlJc w:val="left"/>
      <w:pPr>
        <w:ind w:left="4889" w:hanging="721"/>
      </w:pPr>
      <w:rPr>
        <w:rFonts w:hint="default"/>
        <w:lang w:val="en-US" w:eastAsia="en-US" w:bidi="ar-SA"/>
      </w:rPr>
    </w:lvl>
    <w:lvl w:ilvl="6">
      <w:numFmt w:val="bullet"/>
      <w:lvlText w:val="•"/>
      <w:lvlJc w:val="left"/>
      <w:pPr>
        <w:ind w:left="5721" w:hanging="721"/>
      </w:pPr>
      <w:rPr>
        <w:rFonts w:hint="default"/>
        <w:lang w:val="en-US" w:eastAsia="en-US" w:bidi="ar-SA"/>
      </w:rPr>
    </w:lvl>
    <w:lvl w:ilvl="7">
      <w:numFmt w:val="bullet"/>
      <w:lvlText w:val="•"/>
      <w:lvlJc w:val="left"/>
      <w:pPr>
        <w:ind w:left="6554" w:hanging="721"/>
      </w:pPr>
      <w:rPr>
        <w:rFonts w:hint="default"/>
        <w:lang w:val="en-US" w:eastAsia="en-US" w:bidi="ar-SA"/>
      </w:rPr>
    </w:lvl>
    <w:lvl w:ilvl="8">
      <w:numFmt w:val="bullet"/>
      <w:lvlText w:val="•"/>
      <w:lvlJc w:val="left"/>
      <w:pPr>
        <w:ind w:left="7386" w:hanging="721"/>
      </w:pPr>
      <w:rPr>
        <w:rFonts w:hint="default"/>
        <w:lang w:val="en-US" w:eastAsia="en-US" w:bidi="ar-SA"/>
      </w:rPr>
    </w:lvl>
  </w:abstractNum>
  <w:num w:numId="1" w16cid:durableId="147981154">
    <w:abstractNumId w:val="0"/>
  </w:num>
  <w:num w:numId="2" w16cid:durableId="945767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16"/>
    <w:rsid w:val="000342D3"/>
    <w:rsid w:val="000B3C2F"/>
    <w:rsid w:val="000F3D9B"/>
    <w:rsid w:val="00143638"/>
    <w:rsid w:val="001649B7"/>
    <w:rsid w:val="00317DEB"/>
    <w:rsid w:val="003503C1"/>
    <w:rsid w:val="004339DA"/>
    <w:rsid w:val="005571A2"/>
    <w:rsid w:val="0058106F"/>
    <w:rsid w:val="006802A5"/>
    <w:rsid w:val="007F6EE9"/>
    <w:rsid w:val="00914A76"/>
    <w:rsid w:val="009A71CC"/>
    <w:rsid w:val="00AD764E"/>
    <w:rsid w:val="00C85BD8"/>
    <w:rsid w:val="00CF6429"/>
    <w:rsid w:val="00E16316"/>
    <w:rsid w:val="00E41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2DA0AE"/>
  <w15:docId w15:val="{6AA5639E-711B-4F82-9B1F-85D705CF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0"/>
      <w:jc w:val="both"/>
    </w:pPr>
  </w:style>
  <w:style w:type="paragraph" w:styleId="ListParagraph">
    <w:name w:val="List Paragraph"/>
    <w:basedOn w:val="Normal"/>
    <w:uiPriority w:val="1"/>
    <w:qFormat/>
    <w:pPr>
      <w:spacing w:before="219"/>
      <w:ind w:left="1560" w:hanging="722"/>
      <w:jc w:val="both"/>
    </w:pPr>
  </w:style>
  <w:style w:type="paragraph" w:customStyle="1" w:styleId="TableParagraph">
    <w:name w:val="Table Paragraph"/>
    <w:basedOn w:val="Normal"/>
    <w:uiPriority w:val="1"/>
    <w:qFormat/>
  </w:style>
  <w:style w:type="paragraph" w:styleId="Revision">
    <w:name w:val="Revision"/>
    <w:hidden/>
    <w:uiPriority w:val="99"/>
    <w:semiHidden/>
    <w:rsid w:val="004339D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342D3"/>
    <w:pPr>
      <w:tabs>
        <w:tab w:val="center" w:pos="4513"/>
        <w:tab w:val="right" w:pos="9026"/>
      </w:tabs>
    </w:pPr>
  </w:style>
  <w:style w:type="character" w:customStyle="1" w:styleId="HeaderChar">
    <w:name w:val="Header Char"/>
    <w:basedOn w:val="DefaultParagraphFont"/>
    <w:link w:val="Header"/>
    <w:uiPriority w:val="99"/>
    <w:rsid w:val="000342D3"/>
    <w:rPr>
      <w:rFonts w:ascii="Times New Roman" w:eastAsia="Times New Roman" w:hAnsi="Times New Roman" w:cs="Times New Roman"/>
    </w:rPr>
  </w:style>
  <w:style w:type="paragraph" w:styleId="Footer">
    <w:name w:val="footer"/>
    <w:basedOn w:val="Normal"/>
    <w:link w:val="FooterChar"/>
    <w:uiPriority w:val="99"/>
    <w:unhideWhenUsed/>
    <w:rsid w:val="000342D3"/>
    <w:pPr>
      <w:tabs>
        <w:tab w:val="center" w:pos="4513"/>
        <w:tab w:val="right" w:pos="9026"/>
      </w:tabs>
    </w:pPr>
  </w:style>
  <w:style w:type="character" w:customStyle="1" w:styleId="FooterChar">
    <w:name w:val="Footer Char"/>
    <w:basedOn w:val="DefaultParagraphFont"/>
    <w:link w:val="Footer"/>
    <w:uiPriority w:val="99"/>
    <w:rsid w:val="000342D3"/>
    <w:rPr>
      <w:rFonts w:ascii="Times New Roman" w:eastAsia="Times New Roman" w:hAnsi="Times New Roman" w:cs="Times New Roman"/>
    </w:rPr>
  </w:style>
  <w:style w:type="character" w:styleId="Hyperlink">
    <w:name w:val="Hyperlink"/>
    <w:basedOn w:val="DefaultParagraphFont"/>
    <w:uiPriority w:val="99"/>
    <w:unhideWhenUsed/>
    <w:rsid w:val="000342D3"/>
    <w:rPr>
      <w:color w:val="0000FF" w:themeColor="hyperlink"/>
      <w:u w:val="single"/>
    </w:rPr>
  </w:style>
  <w:style w:type="character" w:styleId="UnresolvedMention">
    <w:name w:val="Unresolved Mention"/>
    <w:basedOn w:val="DefaultParagraphFont"/>
    <w:uiPriority w:val="99"/>
    <w:semiHidden/>
    <w:unhideWhenUsed/>
    <w:rsid w:val="00034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roxyappointment.com/" TargetMode="External"/><Relationship Id="rId3" Type="http://schemas.openxmlformats.org/officeDocument/2006/relationships/settings" Target="settings.xml"/><Relationship Id="rId7" Type="http://schemas.openxmlformats.org/officeDocument/2006/relationships/hyperlink" Target="http://www.eproxyappointme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roupSecretary@glanbia.com." TargetMode="External"/><Relationship Id="rId4" Type="http://schemas.openxmlformats.org/officeDocument/2006/relationships/webSettings" Target="webSettings.xml"/><Relationship Id="rId9" Type="http://schemas.openxmlformats.org/officeDocument/2006/relationships/hyperlink" Target="mailto:uk-membership@eurocle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1681</Words>
  <Characters>9113</Characters>
  <Application>Microsoft Office Word</Application>
  <DocSecurity>0</DocSecurity>
  <Lines>138</Lines>
  <Paragraphs>38</Paragraphs>
  <ScaleCrop>false</ScaleCrop>
  <Company>Glanbia Plc</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Kennington, Olivia</dc:creator>
  <cp:lastModifiedBy>Mcginn, Lyndsey - COIR</cp:lastModifiedBy>
  <cp:revision>7</cp:revision>
  <dcterms:created xsi:type="dcterms:W3CDTF">2025-02-19T16:10:00Z</dcterms:created>
  <dcterms:modified xsi:type="dcterms:W3CDTF">2026-03-24T16:29:00Z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AC#49408022.1</vt:lpwstr>
  </property>
  <property fmtid="{D5CDD505-2E9C-101B-9397-08002B2CF9AE}" pid="3" name="ACDocType">
    <vt:lpwstr>DOCUMENT</vt:lpwstr>
  </property>
  <property fmtid="{D5CDD505-2E9C-101B-9397-08002B2CF9AE}" pid="4" name="ACMatter">
    <vt:lpwstr>GL051/086/</vt:lpwstr>
  </property>
  <property fmtid="{D5CDD505-2E9C-101B-9397-08002B2CF9AE}" pid="5" name="Created">
    <vt:filetime>2024-03-19T00:00:00Z</vt:filetime>
  </property>
  <property fmtid="{D5CDD505-2E9C-101B-9397-08002B2CF9AE}" pid="6" name="Creator">
    <vt:lpwstr>Acrobat PDFMaker 22 for Word</vt:lpwstr>
  </property>
  <property fmtid="{D5CDD505-2E9C-101B-9397-08002B2CF9AE}" pid="7" name="LastSaved">
    <vt:filetime>2025-01-29T00:00:00Z</vt:filetime>
  </property>
  <property fmtid="{D5CDD505-2E9C-101B-9397-08002B2CF9AE}" pid="8" name="Producer">
    <vt:lpwstr>Adobe PDF Library 22.1.174</vt:lpwstr>
  </property>
  <property fmtid="{D5CDD505-2E9C-101B-9397-08002B2CF9AE}" pid="9" name="SourceModified">
    <vt:lpwstr>D:20240318222035</vt:lpwstr>
  </property>
</Properties>
</file>